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31EB" w14:textId="25E08B60" w:rsidR="00E02D4F" w:rsidRDefault="00A2091F" w:rsidP="000D2C74">
      <w:pPr>
        <w:autoSpaceDE w:val="0"/>
        <w:autoSpaceDN w:val="0"/>
        <w:rPr>
          <w:b/>
          <w:i/>
          <w:color w:val="1F4E79" w:themeColor="accent1" w:themeShade="80"/>
          <w:sz w:val="28"/>
          <w:szCs w:val="28"/>
          <w:lang w:val="nl-NL" w:eastAsia="nl-NL"/>
        </w:rPr>
      </w:pPr>
      <w:r>
        <w:rPr>
          <w:b/>
          <w:i/>
          <w:color w:val="1F4E79" w:themeColor="accent1" w:themeShade="80"/>
          <w:sz w:val="28"/>
          <w:szCs w:val="28"/>
          <w:lang w:val="nl-NL" w:eastAsia="nl-NL"/>
        </w:rPr>
        <w:t>I</w:t>
      </w:r>
      <w:r w:rsidR="006A7483" w:rsidRPr="0020166E">
        <w:rPr>
          <w:b/>
          <w:i/>
          <w:color w:val="1F4E79" w:themeColor="accent1" w:themeShade="80"/>
          <w:sz w:val="28"/>
          <w:szCs w:val="28"/>
          <w:lang w:val="nl-NL" w:eastAsia="nl-NL"/>
        </w:rPr>
        <w:t>nschrijving en intakeprocedure</w:t>
      </w:r>
      <w:r w:rsidR="00843706">
        <w:rPr>
          <w:b/>
          <w:i/>
          <w:color w:val="1F4E79" w:themeColor="accent1" w:themeShade="80"/>
          <w:sz w:val="28"/>
          <w:szCs w:val="28"/>
          <w:lang w:val="nl-NL" w:eastAsia="nl-NL"/>
        </w:rPr>
        <w:t xml:space="preserve"> Minor Leren Lesgeven</w:t>
      </w:r>
      <w:r w:rsidR="00927B75">
        <w:rPr>
          <w:b/>
          <w:i/>
          <w:color w:val="1F4E79" w:themeColor="accent1" w:themeShade="80"/>
          <w:sz w:val="28"/>
          <w:szCs w:val="28"/>
          <w:lang w:val="nl-NL" w:eastAsia="nl-NL"/>
        </w:rPr>
        <w:t xml:space="preserve"> 202</w:t>
      </w:r>
      <w:r w:rsidR="00822004">
        <w:rPr>
          <w:b/>
          <w:i/>
          <w:color w:val="1F4E79" w:themeColor="accent1" w:themeShade="80"/>
          <w:sz w:val="28"/>
          <w:szCs w:val="28"/>
          <w:lang w:val="nl-NL" w:eastAsia="nl-NL"/>
        </w:rPr>
        <w:t>4</w:t>
      </w:r>
      <w:r w:rsidR="00927B75">
        <w:rPr>
          <w:b/>
          <w:i/>
          <w:color w:val="1F4E79" w:themeColor="accent1" w:themeShade="80"/>
          <w:sz w:val="28"/>
          <w:szCs w:val="28"/>
          <w:lang w:val="nl-NL" w:eastAsia="nl-NL"/>
        </w:rPr>
        <w:t>-202</w:t>
      </w:r>
      <w:r w:rsidR="00822004">
        <w:rPr>
          <w:b/>
          <w:i/>
          <w:color w:val="1F4E79" w:themeColor="accent1" w:themeShade="80"/>
          <w:sz w:val="28"/>
          <w:szCs w:val="28"/>
          <w:lang w:val="nl-NL" w:eastAsia="nl-NL"/>
        </w:rPr>
        <w:t>5</w:t>
      </w:r>
    </w:p>
    <w:p w14:paraId="59866BC2" w14:textId="77777777" w:rsidR="00E868E3" w:rsidRPr="0020166E" w:rsidRDefault="00E868E3" w:rsidP="000D2C74">
      <w:pPr>
        <w:autoSpaceDE w:val="0"/>
        <w:autoSpaceDN w:val="0"/>
        <w:rPr>
          <w:b/>
          <w:i/>
          <w:color w:val="1F4E79" w:themeColor="accent1" w:themeShade="80"/>
          <w:sz w:val="28"/>
          <w:szCs w:val="28"/>
          <w:lang w:val="nl-NL" w:eastAsia="nl-NL"/>
        </w:rPr>
      </w:pPr>
    </w:p>
    <w:p w14:paraId="58F7826D" w14:textId="6F6CEC4B" w:rsidR="00E02D4F" w:rsidRPr="00D41A8E" w:rsidRDefault="00FB2937" w:rsidP="00E02D4F">
      <w:pPr>
        <w:autoSpaceDE w:val="0"/>
        <w:autoSpaceDN w:val="0"/>
        <w:rPr>
          <w:color w:val="000000" w:themeColor="text1"/>
          <w:lang w:val="nl-NL"/>
        </w:rPr>
      </w:pPr>
      <w:r w:rsidRPr="00EA2C57">
        <w:rPr>
          <w:b/>
          <w:bCs/>
          <w:color w:val="000000" w:themeColor="text1"/>
          <w:lang w:val="nl-NL" w:eastAsia="nl-NL"/>
        </w:rPr>
        <w:t>Inschrijven</w:t>
      </w:r>
      <w:r w:rsidR="00AC69E8" w:rsidRPr="00EA2C57">
        <w:rPr>
          <w:color w:val="000000" w:themeColor="text1"/>
          <w:lang w:val="nl-NL" w:eastAsia="nl-NL"/>
        </w:rPr>
        <w:t xml:space="preserve"> - </w:t>
      </w:r>
      <w:r w:rsidRPr="00EA2C57">
        <w:rPr>
          <w:color w:val="000000" w:themeColor="text1"/>
          <w:lang w:val="nl-NL" w:eastAsia="nl-NL"/>
        </w:rPr>
        <w:t xml:space="preserve">Inschrijven voor de minor </w:t>
      </w:r>
      <w:r w:rsidR="00927B75">
        <w:rPr>
          <w:color w:val="000000" w:themeColor="text1"/>
          <w:lang w:val="nl-NL" w:eastAsia="nl-NL"/>
        </w:rPr>
        <w:t xml:space="preserve">Leren Lesgeven kan </w:t>
      </w:r>
      <w:r w:rsidRPr="00EA2C57">
        <w:rPr>
          <w:color w:val="000000" w:themeColor="text1"/>
          <w:lang w:val="nl-NL" w:eastAsia="nl-NL"/>
        </w:rPr>
        <w:t>via Osiris</w:t>
      </w:r>
      <w:r w:rsidR="00E02D4F" w:rsidRPr="00EA2C57">
        <w:rPr>
          <w:color w:val="000000" w:themeColor="text1"/>
          <w:lang w:val="nl-NL" w:eastAsia="nl-NL"/>
        </w:rPr>
        <w:t xml:space="preserve"> </w:t>
      </w:r>
      <w:r w:rsidR="00927B75">
        <w:rPr>
          <w:color w:val="000000" w:themeColor="text1"/>
          <w:lang w:val="nl-NL" w:eastAsia="nl-NL"/>
        </w:rPr>
        <w:t xml:space="preserve">van </w:t>
      </w:r>
      <w:r w:rsidR="00744550" w:rsidRPr="00551D65">
        <w:rPr>
          <w:b/>
          <w:bCs/>
          <w:color w:val="000000" w:themeColor="text1"/>
          <w:lang w:val="nl-NL" w:eastAsia="nl-NL"/>
        </w:rPr>
        <w:t>25</w:t>
      </w:r>
      <w:r w:rsidR="00927B75" w:rsidRPr="000F061D">
        <w:rPr>
          <w:b/>
          <w:bCs/>
          <w:color w:val="000000" w:themeColor="text1"/>
          <w:lang w:val="nl-NL" w:eastAsia="nl-NL"/>
        </w:rPr>
        <w:t xml:space="preserve"> maart </w:t>
      </w:r>
      <w:r w:rsidR="00E02D4F" w:rsidRPr="000F061D">
        <w:rPr>
          <w:b/>
          <w:bCs/>
          <w:color w:val="000000" w:themeColor="text1"/>
          <w:lang w:val="nl-NL" w:eastAsia="nl-NL"/>
        </w:rPr>
        <w:t xml:space="preserve">tot en met </w:t>
      </w:r>
      <w:r w:rsidR="00744550" w:rsidRPr="00551D65">
        <w:rPr>
          <w:b/>
          <w:bCs/>
          <w:color w:val="000000" w:themeColor="text1"/>
          <w:lang w:val="nl-NL" w:eastAsia="nl-NL"/>
        </w:rPr>
        <w:t>10</w:t>
      </w:r>
      <w:r w:rsidR="00956A14" w:rsidRPr="00927B75">
        <w:rPr>
          <w:b/>
          <w:bCs/>
          <w:color w:val="000000" w:themeColor="text1"/>
          <w:lang w:val="nl-NL" w:eastAsia="nl-NL"/>
        </w:rPr>
        <w:t xml:space="preserve"> april</w:t>
      </w:r>
      <w:r w:rsidR="00E02D4F" w:rsidRPr="00EA2C57">
        <w:rPr>
          <w:color w:val="000000" w:themeColor="text1"/>
          <w:lang w:val="nl-NL" w:eastAsia="nl-NL"/>
        </w:rPr>
        <w:t xml:space="preserve">, zie </w:t>
      </w:r>
      <w:r w:rsidR="00927B75">
        <w:rPr>
          <w:color w:val="000000" w:themeColor="text1"/>
          <w:lang w:val="nl-NL" w:eastAsia="nl-NL"/>
        </w:rPr>
        <w:t xml:space="preserve">ook </w:t>
      </w:r>
      <w:r w:rsidR="00E02D4F" w:rsidRPr="00EA2C57">
        <w:rPr>
          <w:color w:val="000000" w:themeColor="text1"/>
          <w:lang w:val="nl-NL" w:eastAsia="nl-NL"/>
        </w:rPr>
        <w:t>de informatie op de minor</w:t>
      </w:r>
      <w:r w:rsidR="000D2C74" w:rsidRPr="00EA2C57">
        <w:rPr>
          <w:color w:val="000000" w:themeColor="text1"/>
          <w:lang w:val="nl-NL" w:eastAsia="nl-NL"/>
        </w:rPr>
        <w:t>web</w:t>
      </w:r>
      <w:r w:rsidR="00E02D4F" w:rsidRPr="00EA2C57">
        <w:rPr>
          <w:color w:val="000000" w:themeColor="text1"/>
          <w:lang w:val="nl-NL" w:eastAsia="nl-NL"/>
        </w:rPr>
        <w:t xml:space="preserve">site: </w:t>
      </w:r>
      <w:hyperlink r:id="rId7" w:history="1">
        <w:r w:rsidR="00D50584" w:rsidRPr="000B583A">
          <w:rPr>
            <w:rStyle w:val="Hyperlink"/>
            <w:color w:val="auto"/>
            <w:lang w:val="nl-NL"/>
          </w:rPr>
          <w:t>www.utwente.nl/onderwijs/keuzeruimte/minor/inschrijven/</w:t>
        </w:r>
      </w:hyperlink>
      <w:r w:rsidR="00D41A8E" w:rsidRPr="000B583A">
        <w:rPr>
          <w:lang w:val="nl-NL"/>
        </w:rPr>
        <w:t xml:space="preserve">. </w:t>
      </w:r>
    </w:p>
    <w:p w14:paraId="2A536D8F" w14:textId="62E03609" w:rsidR="00E02D4F" w:rsidRPr="00EA2C57" w:rsidRDefault="00E02D4F" w:rsidP="00E02D4F">
      <w:pPr>
        <w:rPr>
          <w:color w:val="000000" w:themeColor="text1"/>
          <w:lang w:val="nl-NL" w:eastAsia="nl-NL"/>
        </w:rPr>
      </w:pPr>
      <w:r w:rsidRPr="00EA2C57">
        <w:rPr>
          <w:color w:val="000000" w:themeColor="text1"/>
          <w:lang w:val="nl-NL" w:eastAsia="nl-NL"/>
        </w:rPr>
        <w:t xml:space="preserve">Het aantal plaatsen per schoolvak is beperkt (zie bovenstaande link), bij </w:t>
      </w:r>
      <w:proofErr w:type="spellStart"/>
      <w:r w:rsidRPr="00EA2C57">
        <w:rPr>
          <w:color w:val="000000" w:themeColor="text1"/>
          <w:lang w:val="nl-NL" w:eastAsia="nl-NL"/>
        </w:rPr>
        <w:t>overintekening</w:t>
      </w:r>
      <w:proofErr w:type="spellEnd"/>
      <w:r w:rsidRPr="00EA2C57">
        <w:rPr>
          <w:color w:val="000000" w:themeColor="text1"/>
          <w:lang w:val="nl-NL" w:eastAsia="nl-NL"/>
        </w:rPr>
        <w:t xml:space="preserve"> voor een vak zal een intakeprocedure plaatsvinden.</w:t>
      </w:r>
      <w:r w:rsidR="00843706">
        <w:rPr>
          <w:color w:val="000000" w:themeColor="text1"/>
          <w:lang w:val="nl-NL" w:eastAsia="nl-NL"/>
        </w:rPr>
        <w:t xml:space="preserve"> </w:t>
      </w:r>
      <w:r w:rsidR="00927B75">
        <w:rPr>
          <w:color w:val="000000" w:themeColor="text1"/>
          <w:lang w:val="nl-NL" w:eastAsia="nl-NL"/>
        </w:rPr>
        <w:t xml:space="preserve">Dit betreft over het algemeen alleen de schoolvakken wiskunde en natuurkunde. </w:t>
      </w:r>
      <w:r w:rsidRPr="00EA2C57">
        <w:rPr>
          <w:color w:val="000000" w:themeColor="text1"/>
          <w:lang w:val="nl-NL" w:eastAsia="nl-NL"/>
        </w:rPr>
        <w:t xml:space="preserve"> </w:t>
      </w:r>
    </w:p>
    <w:p w14:paraId="5D9ED83F" w14:textId="77777777" w:rsidR="00E02D4F" w:rsidRDefault="00E02D4F" w:rsidP="00E02D4F">
      <w:pPr>
        <w:rPr>
          <w:color w:val="000000"/>
          <w:lang w:val="nl-NL" w:eastAsia="nl-NL"/>
        </w:rPr>
      </w:pPr>
    </w:p>
    <w:p w14:paraId="68D70808" w14:textId="1143CFD2" w:rsidR="000D2C74" w:rsidRPr="000B583A" w:rsidRDefault="0009018F" w:rsidP="00E02D4F">
      <w:pPr>
        <w:rPr>
          <w:lang w:val="nl-NL" w:eastAsia="nl-NL"/>
        </w:rPr>
      </w:pPr>
      <w:r w:rsidRPr="00E13BB4">
        <w:rPr>
          <w:b/>
          <w:color w:val="000000"/>
          <w:lang w:val="nl-NL" w:eastAsia="nl-NL"/>
        </w:rPr>
        <w:t>Motivatiebrief</w:t>
      </w:r>
      <w:r w:rsidR="00AC69E8">
        <w:rPr>
          <w:color w:val="000000"/>
          <w:lang w:val="nl-NL" w:eastAsia="nl-NL"/>
        </w:rPr>
        <w:t xml:space="preserve"> - </w:t>
      </w:r>
      <w:r w:rsidR="009302DB">
        <w:rPr>
          <w:color w:val="000000"/>
          <w:lang w:val="nl-NL" w:eastAsia="nl-NL"/>
        </w:rPr>
        <w:t>We vragen</w:t>
      </w:r>
      <w:r w:rsidR="003B4F38">
        <w:rPr>
          <w:color w:val="000000"/>
          <w:lang w:val="nl-NL" w:eastAsia="nl-NL"/>
        </w:rPr>
        <w:t xml:space="preserve"> alle studenten </w:t>
      </w:r>
      <w:r w:rsidR="00F431C6">
        <w:rPr>
          <w:color w:val="000000"/>
          <w:lang w:val="nl-NL" w:eastAsia="nl-NL"/>
        </w:rPr>
        <w:t xml:space="preserve">die zich inschrijven voor de minor </w:t>
      </w:r>
      <w:r w:rsidR="003B4F38">
        <w:rPr>
          <w:color w:val="000000"/>
          <w:lang w:val="nl-NL" w:eastAsia="nl-NL"/>
        </w:rPr>
        <w:t xml:space="preserve">een motivatiebrief te mailen aan de onderwijscoördinator </w:t>
      </w:r>
      <w:r w:rsidR="000D2C74">
        <w:rPr>
          <w:color w:val="000000"/>
          <w:lang w:val="nl-NL" w:eastAsia="nl-NL"/>
        </w:rPr>
        <w:t xml:space="preserve">van de </w:t>
      </w:r>
      <w:r w:rsidR="000D2C74" w:rsidRPr="000B583A">
        <w:rPr>
          <w:lang w:val="nl-NL" w:eastAsia="nl-NL"/>
        </w:rPr>
        <w:t xml:space="preserve">lerarenopleidingen </w:t>
      </w:r>
      <w:r w:rsidR="003B4F38" w:rsidRPr="000B583A">
        <w:rPr>
          <w:lang w:val="nl-NL" w:eastAsia="nl-NL"/>
        </w:rPr>
        <w:t>(</w:t>
      </w:r>
      <w:hyperlink r:id="rId8" w:history="1">
        <w:r w:rsidR="00822004" w:rsidRPr="007B75B6">
          <w:rPr>
            <w:rStyle w:val="Hyperlink"/>
            <w:lang w:val="nl-NL" w:eastAsia="nl-NL"/>
          </w:rPr>
          <w:t>t.o.morsink@utwente.nl</w:t>
        </w:r>
      </w:hyperlink>
      <w:r w:rsidR="003B4F38" w:rsidRPr="000B583A">
        <w:rPr>
          <w:lang w:val="nl-NL" w:eastAsia="nl-NL"/>
        </w:rPr>
        <w:t xml:space="preserve">). </w:t>
      </w:r>
    </w:p>
    <w:p w14:paraId="30E305F1" w14:textId="40B1E452" w:rsidR="003B4F38" w:rsidRDefault="003B4F38" w:rsidP="00E02D4F">
      <w:pPr>
        <w:rPr>
          <w:color w:val="000000"/>
          <w:lang w:val="nl-NL" w:eastAsia="nl-NL"/>
        </w:rPr>
      </w:pPr>
      <w:r>
        <w:rPr>
          <w:color w:val="000000"/>
          <w:lang w:val="nl-NL" w:eastAsia="nl-NL"/>
        </w:rPr>
        <w:t xml:space="preserve">In de motivatiebrief beschrijf je waarom je deze minor (15 of 30 EC) wilt doen en waarom je kiest voor dit schoolvak. </w:t>
      </w:r>
      <w:r w:rsidR="00F431C6">
        <w:rPr>
          <w:color w:val="000000"/>
          <w:lang w:val="nl-NL" w:eastAsia="nl-NL"/>
        </w:rPr>
        <w:t xml:space="preserve">Het is handig om te vermelden </w:t>
      </w:r>
      <w:r>
        <w:rPr>
          <w:color w:val="000000"/>
          <w:lang w:val="nl-NL" w:eastAsia="nl-NL"/>
        </w:rPr>
        <w:t xml:space="preserve">of je eventueel al bijles hebt gegeven of andere (onderwijs-)activiteiten met jongeren hebt begeleid. Enige indicatie van je resultaten op </w:t>
      </w:r>
      <w:r w:rsidR="00FB2937">
        <w:rPr>
          <w:color w:val="000000"/>
          <w:lang w:val="nl-NL" w:eastAsia="nl-NL"/>
        </w:rPr>
        <w:t>het gebied van het schoolvak kan</w:t>
      </w:r>
      <w:r w:rsidR="00CA1D86">
        <w:rPr>
          <w:color w:val="000000"/>
          <w:lang w:val="nl-NL" w:eastAsia="nl-NL"/>
        </w:rPr>
        <w:t xml:space="preserve"> ook</w:t>
      </w:r>
      <w:r w:rsidR="00FB2937">
        <w:rPr>
          <w:color w:val="000000"/>
          <w:lang w:val="nl-NL" w:eastAsia="nl-NL"/>
        </w:rPr>
        <w:t xml:space="preserve"> </w:t>
      </w:r>
      <w:r w:rsidR="00F431C6">
        <w:rPr>
          <w:color w:val="000000"/>
          <w:lang w:val="nl-NL" w:eastAsia="nl-NL"/>
        </w:rPr>
        <w:t>nuttig</w:t>
      </w:r>
      <w:r w:rsidR="00FB2937">
        <w:rPr>
          <w:color w:val="000000"/>
          <w:lang w:val="nl-NL" w:eastAsia="nl-NL"/>
        </w:rPr>
        <w:t xml:space="preserve"> zijn. </w:t>
      </w:r>
      <w:r>
        <w:rPr>
          <w:color w:val="000000"/>
          <w:lang w:val="nl-NL" w:eastAsia="nl-NL"/>
        </w:rPr>
        <w:t>De motivatiebrief ontvangen we graag zo spoedig mogelijk</w:t>
      </w:r>
      <w:r w:rsidR="00927B75">
        <w:rPr>
          <w:color w:val="000000"/>
          <w:lang w:val="nl-NL" w:eastAsia="nl-NL"/>
        </w:rPr>
        <w:t xml:space="preserve"> na je inschrijving</w:t>
      </w:r>
      <w:r>
        <w:rPr>
          <w:color w:val="000000"/>
          <w:lang w:val="nl-NL" w:eastAsia="nl-NL"/>
        </w:rPr>
        <w:t xml:space="preserve">, maar uiterlijk op </w:t>
      </w:r>
      <w:r w:rsidR="00A9641C" w:rsidRPr="00551D65">
        <w:rPr>
          <w:b/>
          <w:color w:val="000000"/>
          <w:lang w:val="nl-NL" w:eastAsia="nl-NL"/>
        </w:rPr>
        <w:t>1</w:t>
      </w:r>
      <w:r w:rsidR="00744550" w:rsidRPr="00551D65">
        <w:rPr>
          <w:b/>
          <w:color w:val="000000"/>
          <w:lang w:val="nl-NL" w:eastAsia="nl-NL"/>
        </w:rPr>
        <w:t>7</w:t>
      </w:r>
      <w:r w:rsidRPr="00CA1D86">
        <w:rPr>
          <w:b/>
          <w:color w:val="000000"/>
          <w:lang w:val="nl-NL" w:eastAsia="nl-NL"/>
        </w:rPr>
        <w:t xml:space="preserve"> april.</w:t>
      </w:r>
      <w:r>
        <w:rPr>
          <w:color w:val="000000"/>
          <w:lang w:val="nl-NL" w:eastAsia="nl-NL"/>
        </w:rPr>
        <w:t xml:space="preserve">  </w:t>
      </w:r>
    </w:p>
    <w:p w14:paraId="1067B86F" w14:textId="77777777" w:rsidR="00FB2937" w:rsidRDefault="00FB2937" w:rsidP="00E02D4F">
      <w:pPr>
        <w:rPr>
          <w:color w:val="000000"/>
          <w:lang w:val="nl-NL" w:eastAsia="nl-NL"/>
        </w:rPr>
      </w:pPr>
    </w:p>
    <w:p w14:paraId="0C489CAF" w14:textId="6B45E13A" w:rsidR="00FB2937" w:rsidRDefault="00FB2937" w:rsidP="00E02D4F">
      <w:pPr>
        <w:rPr>
          <w:color w:val="000000"/>
          <w:lang w:val="nl-NL" w:eastAsia="nl-NL"/>
        </w:rPr>
      </w:pPr>
      <w:r w:rsidRPr="00E13BB4">
        <w:rPr>
          <w:b/>
          <w:color w:val="000000"/>
          <w:lang w:val="nl-NL" w:eastAsia="nl-NL"/>
        </w:rPr>
        <w:t>Intakeprocedure</w:t>
      </w:r>
      <w:r w:rsidR="00E13BB4" w:rsidRPr="00146EAB">
        <w:rPr>
          <w:color w:val="000000"/>
          <w:lang w:val="nl-NL" w:eastAsia="nl-NL"/>
        </w:rPr>
        <w:t xml:space="preserve"> - </w:t>
      </w:r>
      <w:r>
        <w:rPr>
          <w:color w:val="000000"/>
          <w:lang w:val="nl-NL" w:eastAsia="nl-NL"/>
        </w:rPr>
        <w:t xml:space="preserve">Als het aantal inschrijvingen per vak het aantal beschikbare plaatsen niet overstijgt, wordt </w:t>
      </w:r>
      <w:r w:rsidR="000E2361">
        <w:rPr>
          <w:color w:val="000000"/>
          <w:lang w:val="nl-NL" w:eastAsia="nl-NL"/>
        </w:rPr>
        <w:t xml:space="preserve">in principe </w:t>
      </w:r>
      <w:r>
        <w:rPr>
          <w:color w:val="000000"/>
          <w:lang w:val="nl-NL" w:eastAsia="nl-NL"/>
        </w:rPr>
        <w:t xml:space="preserve">iedereen geplaatst. Als er </w:t>
      </w:r>
      <w:r w:rsidR="00077504">
        <w:rPr>
          <w:color w:val="000000"/>
          <w:lang w:val="nl-NL" w:eastAsia="nl-NL"/>
        </w:rPr>
        <w:t>te veel</w:t>
      </w:r>
      <w:r>
        <w:rPr>
          <w:color w:val="000000"/>
          <w:lang w:val="nl-NL" w:eastAsia="nl-NL"/>
        </w:rPr>
        <w:t xml:space="preserve"> inschrijvingen zijn, wordt een selectie gemaakt op basis van de motivatiebrieven en </w:t>
      </w:r>
      <w:r w:rsidR="00077504">
        <w:rPr>
          <w:color w:val="000000"/>
          <w:lang w:val="nl-NL" w:eastAsia="nl-NL"/>
        </w:rPr>
        <w:t xml:space="preserve">vinden </w:t>
      </w:r>
      <w:r>
        <w:rPr>
          <w:color w:val="000000"/>
          <w:lang w:val="nl-NL" w:eastAsia="nl-NL"/>
        </w:rPr>
        <w:t xml:space="preserve">eventueel intakegesprekken plaats. Ook als er geen intakeprocedure nodig is, kan je </w:t>
      </w:r>
      <w:r w:rsidR="00D41A8E">
        <w:rPr>
          <w:color w:val="000000"/>
          <w:lang w:val="nl-NL" w:eastAsia="nl-NL"/>
        </w:rPr>
        <w:t xml:space="preserve">op basis van de motivatiebrief </w:t>
      </w:r>
      <w:r>
        <w:rPr>
          <w:color w:val="000000"/>
          <w:lang w:val="nl-NL" w:eastAsia="nl-NL"/>
        </w:rPr>
        <w:t xml:space="preserve">worden uitgenodigd voor een kennismakingsgesprek. In principe krijgen studenten die de 30 EC </w:t>
      </w:r>
      <w:r w:rsidR="00077504">
        <w:rPr>
          <w:color w:val="000000"/>
          <w:lang w:val="nl-NL" w:eastAsia="nl-NL"/>
        </w:rPr>
        <w:t xml:space="preserve">variant </w:t>
      </w:r>
      <w:r>
        <w:rPr>
          <w:color w:val="000000"/>
          <w:lang w:val="nl-NL" w:eastAsia="nl-NL"/>
        </w:rPr>
        <w:t>willen doen</w:t>
      </w:r>
      <w:r w:rsidR="007B0065">
        <w:rPr>
          <w:color w:val="000000"/>
          <w:lang w:val="nl-NL" w:eastAsia="nl-NL"/>
        </w:rPr>
        <w:t xml:space="preserve"> bij een tekort aan plaatsen</w:t>
      </w:r>
      <w:r>
        <w:rPr>
          <w:color w:val="000000"/>
          <w:lang w:val="nl-NL" w:eastAsia="nl-NL"/>
        </w:rPr>
        <w:t xml:space="preserve"> voorrang boven de studenten die de 15 EC </w:t>
      </w:r>
      <w:r w:rsidR="00077504">
        <w:rPr>
          <w:color w:val="000000"/>
          <w:lang w:val="nl-NL" w:eastAsia="nl-NL"/>
        </w:rPr>
        <w:t xml:space="preserve">variant </w:t>
      </w:r>
      <w:r w:rsidR="007B0065">
        <w:rPr>
          <w:color w:val="000000"/>
          <w:lang w:val="nl-NL" w:eastAsia="nl-NL"/>
        </w:rPr>
        <w:t>willen</w:t>
      </w:r>
      <w:r>
        <w:rPr>
          <w:color w:val="000000"/>
          <w:lang w:val="nl-NL" w:eastAsia="nl-NL"/>
        </w:rPr>
        <w:t xml:space="preserve"> doen</w:t>
      </w:r>
      <w:r w:rsidR="00E72292">
        <w:rPr>
          <w:color w:val="000000"/>
          <w:lang w:val="nl-NL" w:eastAsia="nl-NL"/>
        </w:rPr>
        <w:t xml:space="preserve">, omdat de 30 EC </w:t>
      </w:r>
      <w:r w:rsidR="00077504">
        <w:rPr>
          <w:color w:val="000000"/>
          <w:lang w:val="nl-NL" w:eastAsia="nl-NL"/>
        </w:rPr>
        <w:t>variant bij voldoende geschiktheid een</w:t>
      </w:r>
      <w:r w:rsidR="00E72292">
        <w:rPr>
          <w:color w:val="000000"/>
          <w:lang w:val="nl-NL" w:eastAsia="nl-NL"/>
        </w:rPr>
        <w:t xml:space="preserve"> lesbevoegdheid oplevert. </w:t>
      </w:r>
    </w:p>
    <w:p w14:paraId="4F94FB35" w14:textId="77777777" w:rsidR="00E13BB4" w:rsidRDefault="00E13BB4" w:rsidP="00E02D4F">
      <w:pPr>
        <w:rPr>
          <w:color w:val="000000"/>
          <w:lang w:val="nl-NL" w:eastAsia="nl-NL"/>
        </w:rPr>
      </w:pPr>
    </w:p>
    <w:p w14:paraId="615BF2BE" w14:textId="0390E6FF" w:rsidR="00E02D4F" w:rsidRDefault="00E72292" w:rsidP="00E02D4F">
      <w:pPr>
        <w:rPr>
          <w:color w:val="000000"/>
          <w:lang w:val="nl-NL" w:eastAsia="nl-NL"/>
        </w:rPr>
      </w:pPr>
      <w:r w:rsidRPr="00E13BB4">
        <w:rPr>
          <w:b/>
          <w:color w:val="000000"/>
          <w:lang w:val="nl-NL" w:eastAsia="nl-NL"/>
        </w:rPr>
        <w:t>Uitslag over plaatsing</w:t>
      </w:r>
      <w:r w:rsidR="00AC69E8" w:rsidRPr="00146EAB">
        <w:rPr>
          <w:color w:val="000000"/>
          <w:lang w:val="nl-NL" w:eastAsia="nl-NL"/>
        </w:rPr>
        <w:t xml:space="preserve"> </w:t>
      </w:r>
      <w:r w:rsidR="00E13BB4" w:rsidRPr="00146EAB">
        <w:rPr>
          <w:color w:val="000000"/>
          <w:lang w:val="nl-NL" w:eastAsia="nl-NL"/>
        </w:rPr>
        <w:t xml:space="preserve">- </w:t>
      </w:r>
      <w:r w:rsidR="00E02D4F">
        <w:rPr>
          <w:color w:val="000000"/>
          <w:lang w:val="nl-NL" w:eastAsia="nl-NL"/>
        </w:rPr>
        <w:t xml:space="preserve">Uiterlijk op </w:t>
      </w:r>
      <w:r w:rsidR="00744550" w:rsidRPr="00551D65">
        <w:rPr>
          <w:b/>
          <w:bCs/>
          <w:color w:val="000000"/>
          <w:lang w:val="nl-NL" w:eastAsia="nl-NL"/>
        </w:rPr>
        <w:t>6</w:t>
      </w:r>
      <w:r w:rsidR="00315A48" w:rsidRPr="000F061D">
        <w:rPr>
          <w:b/>
          <w:bCs/>
          <w:color w:val="000000"/>
          <w:lang w:val="nl-NL" w:eastAsia="nl-NL"/>
        </w:rPr>
        <w:t xml:space="preserve"> m</w:t>
      </w:r>
      <w:r w:rsidR="00315A48">
        <w:rPr>
          <w:b/>
          <w:bCs/>
          <w:color w:val="000000"/>
          <w:lang w:val="nl-NL" w:eastAsia="nl-NL"/>
        </w:rPr>
        <w:t>ei</w:t>
      </w:r>
      <w:r w:rsidR="00956A14">
        <w:rPr>
          <w:b/>
          <w:bCs/>
          <w:color w:val="000000"/>
          <w:lang w:val="nl-NL" w:eastAsia="nl-NL"/>
        </w:rPr>
        <w:t xml:space="preserve"> </w:t>
      </w:r>
      <w:r w:rsidR="00E02D4F">
        <w:rPr>
          <w:color w:val="000000"/>
          <w:lang w:val="nl-NL" w:eastAsia="nl-NL"/>
        </w:rPr>
        <w:t xml:space="preserve">heb je uitsluitsel of je tot de minor wordt toegelaten. </w:t>
      </w:r>
    </w:p>
    <w:p w14:paraId="7C76F91C" w14:textId="77777777" w:rsidR="00E02D4F" w:rsidRDefault="00E02D4F" w:rsidP="00E02D4F">
      <w:pPr>
        <w:autoSpaceDE w:val="0"/>
        <w:autoSpaceDN w:val="0"/>
        <w:rPr>
          <w:color w:val="000000"/>
          <w:lang w:val="nl-NL" w:eastAsia="nl-NL"/>
        </w:rPr>
      </w:pPr>
    </w:p>
    <w:p w14:paraId="6C3976D7" w14:textId="246FE951" w:rsidR="00843706" w:rsidRDefault="00843706" w:rsidP="00843706">
      <w:pPr>
        <w:autoSpaceDE w:val="0"/>
        <w:autoSpaceDN w:val="0"/>
        <w:rPr>
          <w:color w:val="000000"/>
          <w:lang w:val="nl-NL" w:eastAsia="nl-NL"/>
        </w:rPr>
      </w:pPr>
      <w:r>
        <w:rPr>
          <w:b/>
          <w:bCs/>
          <w:color w:val="000000"/>
          <w:lang w:val="nl-NL" w:eastAsia="nl-NL"/>
        </w:rPr>
        <w:t xml:space="preserve">Programma van de minor </w:t>
      </w:r>
      <w:r w:rsidRPr="00146EAB">
        <w:rPr>
          <w:bCs/>
          <w:color w:val="000000"/>
          <w:lang w:val="nl-NL" w:eastAsia="nl-NL"/>
        </w:rPr>
        <w:t>-</w:t>
      </w:r>
      <w:r>
        <w:rPr>
          <w:color w:val="000000"/>
          <w:lang w:val="nl-NL" w:eastAsia="nl-NL"/>
        </w:rPr>
        <w:t xml:space="preserve">De colleges zijn op donderdag. In de eerste collegeweek is er een meerdaags programma ter voorbereiding op de opleiding en de stage. Het schoolpracticum (de schoolstage) is afhankelijk van het lesrooster van de stageschool. De stageplaatsen worden geworven en verdeeld door de </w:t>
      </w:r>
      <w:r w:rsidR="006F442A">
        <w:rPr>
          <w:color w:val="000000"/>
          <w:lang w:val="nl-NL" w:eastAsia="nl-NL"/>
        </w:rPr>
        <w:t>stagecoördinatoren</w:t>
      </w:r>
      <w:r>
        <w:rPr>
          <w:color w:val="000000"/>
          <w:lang w:val="nl-NL" w:eastAsia="nl-NL"/>
        </w:rPr>
        <w:t xml:space="preserve">. Ga ervan uit dat je twee </w:t>
      </w:r>
      <w:r w:rsidR="006F442A">
        <w:rPr>
          <w:color w:val="000000"/>
          <w:lang w:val="nl-NL" w:eastAsia="nl-NL"/>
        </w:rPr>
        <w:t xml:space="preserve">tot drie </w:t>
      </w:r>
      <w:r>
        <w:rPr>
          <w:color w:val="000000"/>
          <w:lang w:val="nl-NL" w:eastAsia="nl-NL"/>
        </w:rPr>
        <w:t>dagen per week op de stageschool bent. </w:t>
      </w:r>
    </w:p>
    <w:p w14:paraId="7390F689" w14:textId="77777777" w:rsidR="00843706" w:rsidRDefault="00843706" w:rsidP="00843706">
      <w:pPr>
        <w:autoSpaceDE w:val="0"/>
        <w:autoSpaceDN w:val="0"/>
        <w:rPr>
          <w:b/>
          <w:bCs/>
          <w:color w:val="000000"/>
          <w:lang w:val="nl-NL" w:eastAsia="nl-NL"/>
        </w:rPr>
      </w:pPr>
    </w:p>
    <w:tbl>
      <w:tblPr>
        <w:tblW w:w="2699" w:type="pct"/>
        <w:tblInd w:w="8" w:type="dxa"/>
        <w:tblCellMar>
          <w:left w:w="0" w:type="dxa"/>
          <w:right w:w="0" w:type="dxa"/>
        </w:tblCellMar>
        <w:tblLook w:val="04A0" w:firstRow="1" w:lastRow="0" w:firstColumn="1" w:lastColumn="0" w:noHBand="0" w:noVBand="1"/>
      </w:tblPr>
      <w:tblGrid>
        <w:gridCol w:w="2375"/>
        <w:gridCol w:w="2669"/>
      </w:tblGrid>
      <w:tr w:rsidR="00843706" w14:paraId="0071D6F0" w14:textId="77777777" w:rsidTr="00AD4ECE">
        <w:tc>
          <w:tcPr>
            <w:tcW w:w="2354" w:type="pct"/>
            <w:tcBorders>
              <w:top w:val="single" w:sz="4" w:space="0" w:color="auto"/>
              <w:left w:val="single" w:sz="4" w:space="0" w:color="auto"/>
              <w:bottom w:val="single" w:sz="8" w:space="0" w:color="000000"/>
              <w:right w:val="single" w:sz="8" w:space="0" w:color="000000"/>
            </w:tcBorders>
            <w:shd w:val="clear" w:color="auto" w:fill="D9D9D9"/>
            <w:tcMar>
              <w:top w:w="43" w:type="dxa"/>
              <w:left w:w="58" w:type="dxa"/>
              <w:bottom w:w="43" w:type="dxa"/>
              <w:right w:w="58" w:type="dxa"/>
            </w:tcMar>
            <w:vAlign w:val="center"/>
            <w:hideMark/>
          </w:tcPr>
          <w:p w14:paraId="1B4EDD48" w14:textId="77777777" w:rsidR="00843706" w:rsidRPr="00E02D4F" w:rsidRDefault="00843706" w:rsidP="00AD4ECE">
            <w:pPr>
              <w:pStyle w:val="wh-whnormal"/>
              <w:ind w:right="172"/>
              <w:rPr>
                <w:color w:val="000000"/>
                <w:sz w:val="20"/>
                <w:szCs w:val="20"/>
                <w:lang w:val="nl-NL"/>
              </w:rPr>
            </w:pPr>
            <w:r>
              <w:rPr>
                <w:b/>
                <w:bCs/>
                <w:color w:val="000000"/>
                <w:sz w:val="20"/>
                <w:szCs w:val="20"/>
                <w:lang w:val="nl-NL"/>
              </w:rPr>
              <w:t>Basismodule</w:t>
            </w:r>
            <w:r w:rsidRPr="00E02D4F">
              <w:rPr>
                <w:b/>
                <w:bCs/>
                <w:color w:val="000000"/>
                <w:sz w:val="20"/>
                <w:szCs w:val="20"/>
                <w:lang w:val="nl-NL"/>
              </w:rPr>
              <w:t xml:space="preserve"> </w:t>
            </w:r>
          </w:p>
        </w:tc>
        <w:tc>
          <w:tcPr>
            <w:tcW w:w="2646" w:type="pct"/>
            <w:tcBorders>
              <w:top w:val="single" w:sz="4" w:space="0" w:color="auto"/>
              <w:left w:val="nil"/>
              <w:bottom w:val="single" w:sz="8" w:space="0" w:color="000000"/>
              <w:right w:val="single" w:sz="8" w:space="0" w:color="000000"/>
            </w:tcBorders>
            <w:shd w:val="clear" w:color="auto" w:fill="D9D9D9"/>
            <w:tcMar>
              <w:top w:w="43" w:type="dxa"/>
              <w:left w:w="58" w:type="dxa"/>
              <w:bottom w:w="43" w:type="dxa"/>
              <w:right w:w="58" w:type="dxa"/>
            </w:tcMar>
            <w:vAlign w:val="center"/>
            <w:hideMark/>
          </w:tcPr>
          <w:p w14:paraId="3B8BE235" w14:textId="77777777" w:rsidR="00843706" w:rsidRDefault="00843706" w:rsidP="00AD4ECE">
            <w:pPr>
              <w:pStyle w:val="wh-whnormal"/>
              <w:ind w:right="172"/>
              <w:rPr>
                <w:color w:val="000000"/>
                <w:sz w:val="20"/>
                <w:szCs w:val="20"/>
              </w:rPr>
            </w:pPr>
            <w:proofErr w:type="spellStart"/>
            <w:r>
              <w:rPr>
                <w:b/>
                <w:bCs/>
                <w:color w:val="000000"/>
                <w:sz w:val="20"/>
                <w:szCs w:val="20"/>
              </w:rPr>
              <w:t>Vervolgmodule</w:t>
            </w:r>
            <w:proofErr w:type="spellEnd"/>
          </w:p>
        </w:tc>
      </w:tr>
      <w:tr w:rsidR="00843706" w14:paraId="6515350E" w14:textId="77777777" w:rsidTr="00AD4ECE">
        <w:tc>
          <w:tcPr>
            <w:tcW w:w="2354" w:type="pct"/>
            <w:tcBorders>
              <w:top w:val="single" w:sz="8" w:space="0" w:color="000000"/>
              <w:left w:val="single" w:sz="4" w:space="0" w:color="auto"/>
              <w:bottom w:val="single" w:sz="8" w:space="0" w:color="000000"/>
              <w:right w:val="single" w:sz="8" w:space="0" w:color="000000"/>
            </w:tcBorders>
            <w:tcMar>
              <w:top w:w="0" w:type="dxa"/>
              <w:left w:w="58" w:type="dxa"/>
              <w:bottom w:w="0" w:type="dxa"/>
              <w:right w:w="58" w:type="dxa"/>
            </w:tcMar>
            <w:hideMark/>
          </w:tcPr>
          <w:p w14:paraId="2CAF5DF8" w14:textId="77777777" w:rsidR="00180BD9" w:rsidRPr="00180BD9" w:rsidRDefault="00180BD9" w:rsidP="00AD4ECE">
            <w:pPr>
              <w:pStyle w:val="wh-whnormal"/>
              <w:ind w:right="172"/>
              <w:rPr>
                <w:color w:val="000000"/>
                <w:sz w:val="20"/>
                <w:szCs w:val="20"/>
                <w:lang w:val="nl-NL"/>
              </w:rPr>
            </w:pPr>
            <w:r w:rsidRPr="00180BD9">
              <w:rPr>
                <w:color w:val="000000"/>
                <w:sz w:val="20"/>
                <w:szCs w:val="20"/>
                <w:lang w:val="nl-NL"/>
              </w:rPr>
              <w:t>Algemene Didactiek, Pedagogiek en Onderwijskunde 1</w:t>
            </w:r>
          </w:p>
          <w:p w14:paraId="404FF762" w14:textId="2AB995AA" w:rsidR="00843706" w:rsidRPr="00180BD9" w:rsidRDefault="00843706" w:rsidP="00AD4ECE">
            <w:pPr>
              <w:pStyle w:val="wh-whnormal"/>
              <w:ind w:right="172"/>
              <w:rPr>
                <w:color w:val="000000"/>
                <w:sz w:val="20"/>
                <w:szCs w:val="20"/>
                <w:lang w:val="nl-NL"/>
              </w:rPr>
            </w:pPr>
            <w:r w:rsidRPr="00180BD9">
              <w:rPr>
                <w:color w:val="000000"/>
                <w:sz w:val="20"/>
                <w:szCs w:val="20"/>
                <w:lang w:val="nl-NL"/>
              </w:rPr>
              <w:t>5 EC</w:t>
            </w:r>
          </w:p>
        </w:tc>
        <w:tc>
          <w:tcPr>
            <w:tcW w:w="2646" w:type="pct"/>
            <w:tcBorders>
              <w:top w:val="nil"/>
              <w:left w:val="nil"/>
              <w:bottom w:val="single" w:sz="8" w:space="0" w:color="000000"/>
              <w:right w:val="single" w:sz="8" w:space="0" w:color="000000"/>
            </w:tcBorders>
            <w:hideMark/>
          </w:tcPr>
          <w:p w14:paraId="56D24A3F" w14:textId="77777777" w:rsidR="00843706" w:rsidRDefault="00843706" w:rsidP="00AD4ECE">
            <w:pPr>
              <w:pStyle w:val="wh-whnormal"/>
              <w:rPr>
                <w:color w:val="000000"/>
                <w:sz w:val="20"/>
                <w:szCs w:val="20"/>
              </w:rPr>
            </w:pPr>
            <w:proofErr w:type="spellStart"/>
            <w:r>
              <w:rPr>
                <w:color w:val="000000"/>
                <w:sz w:val="20"/>
                <w:szCs w:val="20"/>
              </w:rPr>
              <w:t>Vakdidactiek</w:t>
            </w:r>
            <w:proofErr w:type="spellEnd"/>
            <w:r>
              <w:rPr>
                <w:color w:val="000000"/>
                <w:sz w:val="20"/>
                <w:szCs w:val="20"/>
              </w:rPr>
              <w:t xml:space="preserve"> 1</w:t>
            </w:r>
          </w:p>
          <w:p w14:paraId="5C773ABC" w14:textId="77777777" w:rsidR="00843706" w:rsidRDefault="00843706" w:rsidP="00AD4ECE">
            <w:pPr>
              <w:pStyle w:val="wh-whnormal"/>
              <w:rPr>
                <w:color w:val="000000"/>
                <w:sz w:val="20"/>
                <w:szCs w:val="20"/>
              </w:rPr>
            </w:pPr>
            <w:r>
              <w:rPr>
                <w:color w:val="000000"/>
                <w:sz w:val="20"/>
                <w:szCs w:val="20"/>
              </w:rPr>
              <w:t>5 EC</w:t>
            </w:r>
          </w:p>
        </w:tc>
      </w:tr>
      <w:tr w:rsidR="00843706" w14:paraId="52DE4D2F" w14:textId="77777777" w:rsidTr="00AD4ECE">
        <w:tc>
          <w:tcPr>
            <w:tcW w:w="2354" w:type="pct"/>
            <w:tcBorders>
              <w:top w:val="single" w:sz="8" w:space="0" w:color="000000"/>
              <w:left w:val="single" w:sz="4" w:space="0" w:color="auto"/>
              <w:bottom w:val="single" w:sz="8" w:space="0" w:color="000000"/>
              <w:right w:val="single" w:sz="8" w:space="0" w:color="000000"/>
            </w:tcBorders>
            <w:tcMar>
              <w:top w:w="0" w:type="dxa"/>
              <w:left w:w="58" w:type="dxa"/>
              <w:bottom w:w="0" w:type="dxa"/>
              <w:right w:w="58" w:type="dxa"/>
            </w:tcMar>
            <w:hideMark/>
          </w:tcPr>
          <w:p w14:paraId="79A15677" w14:textId="77777777" w:rsidR="00843706" w:rsidRDefault="00843706" w:rsidP="00AD4ECE">
            <w:pPr>
              <w:pStyle w:val="wh-whnormal"/>
              <w:ind w:right="172"/>
              <w:rPr>
                <w:color w:val="000000"/>
                <w:sz w:val="20"/>
                <w:szCs w:val="20"/>
              </w:rPr>
            </w:pPr>
            <w:proofErr w:type="spellStart"/>
            <w:r>
              <w:rPr>
                <w:color w:val="000000"/>
                <w:sz w:val="20"/>
                <w:szCs w:val="20"/>
              </w:rPr>
              <w:t>Inleiding</w:t>
            </w:r>
            <w:proofErr w:type="spellEnd"/>
            <w:r>
              <w:rPr>
                <w:color w:val="000000"/>
                <w:sz w:val="20"/>
                <w:szCs w:val="20"/>
              </w:rPr>
              <w:t xml:space="preserve"> </w:t>
            </w:r>
            <w:proofErr w:type="spellStart"/>
            <w:r>
              <w:rPr>
                <w:color w:val="000000"/>
                <w:sz w:val="20"/>
                <w:szCs w:val="20"/>
              </w:rPr>
              <w:t>Vakdidactiek</w:t>
            </w:r>
            <w:proofErr w:type="spellEnd"/>
          </w:p>
          <w:p w14:paraId="3D7F0127" w14:textId="77777777" w:rsidR="00843706" w:rsidRDefault="00843706" w:rsidP="00AD4ECE">
            <w:pPr>
              <w:pStyle w:val="wh-whnormal"/>
              <w:ind w:right="172"/>
              <w:rPr>
                <w:color w:val="000000"/>
                <w:sz w:val="20"/>
                <w:szCs w:val="20"/>
              </w:rPr>
            </w:pPr>
            <w:r>
              <w:rPr>
                <w:color w:val="000000"/>
                <w:sz w:val="20"/>
                <w:szCs w:val="20"/>
              </w:rPr>
              <w:t>5 EC</w:t>
            </w:r>
          </w:p>
        </w:tc>
        <w:tc>
          <w:tcPr>
            <w:tcW w:w="2646" w:type="pct"/>
            <w:vMerge w:val="restart"/>
            <w:tcBorders>
              <w:top w:val="nil"/>
              <w:left w:val="nil"/>
              <w:right w:val="single" w:sz="8" w:space="0" w:color="000000"/>
            </w:tcBorders>
            <w:vAlign w:val="center"/>
            <w:hideMark/>
          </w:tcPr>
          <w:p w14:paraId="4C5BFAA0" w14:textId="77777777" w:rsidR="00843706" w:rsidRDefault="00843706" w:rsidP="00AD4ECE">
            <w:pPr>
              <w:pStyle w:val="wh-whnormal"/>
              <w:rPr>
                <w:color w:val="000000"/>
                <w:sz w:val="20"/>
                <w:szCs w:val="20"/>
              </w:rPr>
            </w:pPr>
            <w:proofErr w:type="spellStart"/>
            <w:r>
              <w:rPr>
                <w:color w:val="000000"/>
                <w:sz w:val="20"/>
                <w:szCs w:val="20"/>
              </w:rPr>
              <w:t>Schoolpracticum</w:t>
            </w:r>
            <w:proofErr w:type="spellEnd"/>
            <w:r>
              <w:rPr>
                <w:color w:val="000000"/>
                <w:sz w:val="20"/>
                <w:szCs w:val="20"/>
              </w:rPr>
              <w:t xml:space="preserve">  2 minor </w:t>
            </w:r>
          </w:p>
          <w:p w14:paraId="7FAAB492" w14:textId="77777777" w:rsidR="00843706" w:rsidRDefault="00843706" w:rsidP="00AD4ECE">
            <w:pPr>
              <w:pStyle w:val="wh-whnormal"/>
              <w:rPr>
                <w:color w:val="000000"/>
                <w:sz w:val="20"/>
                <w:szCs w:val="20"/>
              </w:rPr>
            </w:pPr>
            <w:r>
              <w:rPr>
                <w:color w:val="000000"/>
                <w:sz w:val="20"/>
                <w:szCs w:val="20"/>
              </w:rPr>
              <w:t>10 EC</w:t>
            </w:r>
          </w:p>
        </w:tc>
      </w:tr>
      <w:tr w:rsidR="00843706" w14:paraId="0E4C45A2" w14:textId="77777777" w:rsidTr="00AD4ECE">
        <w:tc>
          <w:tcPr>
            <w:tcW w:w="2354" w:type="pct"/>
            <w:tcBorders>
              <w:top w:val="single" w:sz="8" w:space="0" w:color="000000"/>
              <w:left w:val="single" w:sz="4" w:space="0" w:color="auto"/>
              <w:bottom w:val="single" w:sz="8" w:space="0" w:color="000000"/>
              <w:right w:val="single" w:sz="8" w:space="0" w:color="000000"/>
            </w:tcBorders>
            <w:tcMar>
              <w:top w:w="0" w:type="dxa"/>
              <w:left w:w="58" w:type="dxa"/>
              <w:bottom w:w="0" w:type="dxa"/>
              <w:right w:w="58" w:type="dxa"/>
            </w:tcMar>
            <w:hideMark/>
          </w:tcPr>
          <w:p w14:paraId="3543DF90" w14:textId="77777777" w:rsidR="00843706" w:rsidRDefault="00843706" w:rsidP="00AD4ECE">
            <w:pPr>
              <w:pStyle w:val="wh-whnormal"/>
              <w:rPr>
                <w:color w:val="000000"/>
                <w:sz w:val="20"/>
                <w:szCs w:val="20"/>
              </w:rPr>
            </w:pPr>
            <w:proofErr w:type="spellStart"/>
            <w:r>
              <w:rPr>
                <w:color w:val="000000"/>
                <w:sz w:val="20"/>
                <w:szCs w:val="20"/>
              </w:rPr>
              <w:t>Schoolpracticum</w:t>
            </w:r>
            <w:proofErr w:type="spellEnd"/>
            <w:r>
              <w:rPr>
                <w:color w:val="000000"/>
                <w:sz w:val="20"/>
                <w:szCs w:val="20"/>
              </w:rPr>
              <w:t xml:space="preserve"> 1</w:t>
            </w:r>
          </w:p>
          <w:p w14:paraId="07E468D7" w14:textId="77777777" w:rsidR="00843706" w:rsidRDefault="00843706" w:rsidP="00AD4ECE">
            <w:pPr>
              <w:pStyle w:val="wh-whnormal"/>
              <w:ind w:right="172"/>
              <w:rPr>
                <w:color w:val="000000"/>
                <w:sz w:val="20"/>
                <w:szCs w:val="20"/>
              </w:rPr>
            </w:pPr>
            <w:r>
              <w:rPr>
                <w:color w:val="000000"/>
                <w:sz w:val="20"/>
                <w:szCs w:val="20"/>
              </w:rPr>
              <w:t>5 EC</w:t>
            </w:r>
          </w:p>
        </w:tc>
        <w:tc>
          <w:tcPr>
            <w:tcW w:w="2646" w:type="pct"/>
            <w:vMerge/>
            <w:tcBorders>
              <w:left w:val="nil"/>
              <w:bottom w:val="single" w:sz="8" w:space="0" w:color="000000"/>
              <w:right w:val="single" w:sz="8" w:space="0" w:color="000000"/>
            </w:tcBorders>
            <w:hideMark/>
          </w:tcPr>
          <w:p w14:paraId="6096A531" w14:textId="77777777" w:rsidR="00843706" w:rsidRDefault="00843706" w:rsidP="00AD4ECE">
            <w:pPr>
              <w:pStyle w:val="wh-whnormal"/>
              <w:rPr>
                <w:color w:val="000000"/>
                <w:sz w:val="20"/>
                <w:szCs w:val="20"/>
              </w:rPr>
            </w:pPr>
          </w:p>
        </w:tc>
      </w:tr>
    </w:tbl>
    <w:p w14:paraId="1F1822DB" w14:textId="77777777" w:rsidR="00843706" w:rsidRDefault="00843706" w:rsidP="00843706">
      <w:pPr>
        <w:autoSpaceDE w:val="0"/>
        <w:autoSpaceDN w:val="0"/>
        <w:rPr>
          <w:b/>
          <w:bCs/>
          <w:color w:val="000000"/>
          <w:lang w:val="nl-NL" w:eastAsia="nl-NL"/>
        </w:rPr>
      </w:pPr>
    </w:p>
    <w:p w14:paraId="0C254453" w14:textId="77777777" w:rsidR="00843706" w:rsidRDefault="00843706" w:rsidP="00843706">
      <w:pPr>
        <w:autoSpaceDE w:val="0"/>
        <w:autoSpaceDN w:val="0"/>
        <w:rPr>
          <w:color w:val="000000"/>
          <w:lang w:val="nl-NL" w:eastAsia="nl-NL"/>
        </w:rPr>
      </w:pPr>
      <w:r w:rsidRPr="0020166E">
        <w:rPr>
          <w:b/>
          <w:color w:val="000000"/>
          <w:lang w:val="nl-NL" w:eastAsia="nl-NL"/>
        </w:rPr>
        <w:t>Tussentijds advies</w:t>
      </w:r>
      <w:r>
        <w:rPr>
          <w:color w:val="000000"/>
          <w:lang w:val="nl-NL" w:eastAsia="nl-NL"/>
        </w:rPr>
        <w:t xml:space="preserve"> – Voordat je doorgaat met de tweede module word je gevraagd om even stil te staan bij je motivatie en je ontwikkeling tot docent. Hierbij vraag je ook het advies van de </w:t>
      </w:r>
      <w:proofErr w:type="spellStart"/>
      <w:r>
        <w:rPr>
          <w:color w:val="000000"/>
          <w:lang w:val="nl-NL" w:eastAsia="nl-NL"/>
        </w:rPr>
        <w:t>vakcoach</w:t>
      </w:r>
      <w:proofErr w:type="spellEnd"/>
      <w:r>
        <w:rPr>
          <w:color w:val="000000"/>
          <w:lang w:val="nl-NL" w:eastAsia="nl-NL"/>
        </w:rPr>
        <w:t xml:space="preserve"> op school en de lerarenopleiders op de UT. </w:t>
      </w:r>
    </w:p>
    <w:p w14:paraId="79814F8B" w14:textId="77777777" w:rsidR="00843706" w:rsidRDefault="00843706" w:rsidP="00843706">
      <w:pPr>
        <w:autoSpaceDE w:val="0"/>
        <w:autoSpaceDN w:val="0"/>
        <w:rPr>
          <w:b/>
          <w:bCs/>
          <w:color w:val="000000"/>
          <w:lang w:val="nl-NL" w:eastAsia="nl-NL"/>
        </w:rPr>
      </w:pPr>
    </w:p>
    <w:p w14:paraId="7BFDFE93" w14:textId="0CBAE8CA" w:rsidR="00843706" w:rsidRDefault="00843706" w:rsidP="00843706">
      <w:pPr>
        <w:autoSpaceDE w:val="0"/>
        <w:autoSpaceDN w:val="0"/>
        <w:rPr>
          <w:color w:val="000000"/>
          <w:lang w:val="nl-NL" w:eastAsia="nl-NL"/>
        </w:rPr>
      </w:pPr>
      <w:r>
        <w:rPr>
          <w:b/>
          <w:bCs/>
          <w:color w:val="000000"/>
          <w:lang w:val="nl-NL" w:eastAsia="nl-NL"/>
        </w:rPr>
        <w:t>Hard werken?</w:t>
      </w:r>
      <w:r>
        <w:rPr>
          <w:color w:val="000000"/>
          <w:lang w:val="nl-NL" w:eastAsia="nl-NL"/>
        </w:rPr>
        <w:t xml:space="preserve"> – Jazeker! De tijd die voor de cursussen staat, heb je bij deze minor ook echt nodig. </w:t>
      </w:r>
    </w:p>
    <w:p w14:paraId="5A1C577E" w14:textId="77777777" w:rsidR="00843706" w:rsidRDefault="00843706" w:rsidP="00843706">
      <w:pPr>
        <w:autoSpaceDE w:val="0"/>
        <w:autoSpaceDN w:val="0"/>
        <w:rPr>
          <w:color w:val="000000"/>
          <w:lang w:val="nl-NL" w:eastAsia="nl-NL"/>
        </w:rPr>
      </w:pPr>
    </w:p>
    <w:p w14:paraId="233713E0" w14:textId="77777777" w:rsidR="00E868E3" w:rsidRDefault="00E868E3">
      <w:pPr>
        <w:spacing w:after="160" w:line="259" w:lineRule="auto"/>
        <w:rPr>
          <w:b/>
          <w:bCs/>
          <w:color w:val="000000" w:themeColor="text1"/>
          <w:lang w:val="nl-NL" w:eastAsia="nl-NL"/>
        </w:rPr>
      </w:pPr>
      <w:r>
        <w:rPr>
          <w:b/>
          <w:bCs/>
          <w:color w:val="000000" w:themeColor="text1"/>
          <w:lang w:val="nl-NL" w:eastAsia="nl-NL"/>
        </w:rPr>
        <w:br w:type="page"/>
      </w:r>
    </w:p>
    <w:p w14:paraId="7CFD6D76" w14:textId="15B9ACDC" w:rsidR="00A410A9" w:rsidRPr="005A3821" w:rsidRDefault="00CA1D86" w:rsidP="003B4F38">
      <w:pPr>
        <w:autoSpaceDE w:val="0"/>
        <w:autoSpaceDN w:val="0"/>
        <w:rPr>
          <w:color w:val="000000" w:themeColor="text1"/>
          <w:lang w:val="nl-NL" w:eastAsia="nl-NL"/>
        </w:rPr>
      </w:pPr>
      <w:r w:rsidRPr="005A3821">
        <w:rPr>
          <w:b/>
          <w:bCs/>
          <w:color w:val="000000" w:themeColor="text1"/>
          <w:lang w:val="nl-NL" w:eastAsia="nl-NL"/>
        </w:rPr>
        <w:lastRenderedPageBreak/>
        <w:t>Meer informatie</w:t>
      </w:r>
      <w:r w:rsidR="003B4F38" w:rsidRPr="005A3821">
        <w:rPr>
          <w:bCs/>
          <w:color w:val="000000" w:themeColor="text1"/>
          <w:lang w:val="nl-NL" w:eastAsia="nl-NL"/>
        </w:rPr>
        <w:t xml:space="preserve"> </w:t>
      </w:r>
      <w:r w:rsidR="00A410A9" w:rsidRPr="005A3821">
        <w:rPr>
          <w:bCs/>
          <w:color w:val="000000" w:themeColor="text1"/>
          <w:lang w:val="nl-NL" w:eastAsia="nl-NL"/>
        </w:rPr>
        <w:t>–</w:t>
      </w:r>
      <w:r w:rsidR="00AC69E8" w:rsidRPr="005A3821">
        <w:rPr>
          <w:bCs/>
          <w:color w:val="000000" w:themeColor="text1"/>
          <w:lang w:val="nl-NL" w:eastAsia="nl-NL"/>
        </w:rPr>
        <w:t xml:space="preserve"> </w:t>
      </w:r>
      <w:r w:rsidR="00A410A9" w:rsidRPr="005A3821">
        <w:rPr>
          <w:bCs/>
          <w:color w:val="000000" w:themeColor="text1"/>
          <w:lang w:val="nl-NL" w:eastAsia="nl-NL"/>
        </w:rPr>
        <w:t xml:space="preserve">Informatie over de UT-lerarenopleidingen vind je hier: </w:t>
      </w:r>
      <w:hyperlink r:id="rId9" w:history="1">
        <w:r w:rsidR="007B0065" w:rsidRPr="005A3821">
          <w:rPr>
            <w:rStyle w:val="Hyperlink"/>
            <w:color w:val="000000" w:themeColor="text1"/>
            <w:lang w:val="nl-NL"/>
          </w:rPr>
          <w:t>www.utwente.nl/lerarenopleidingen/</w:t>
        </w:r>
      </w:hyperlink>
      <w:r w:rsidR="003B4F38" w:rsidRPr="005A3821">
        <w:rPr>
          <w:color w:val="000000" w:themeColor="text1"/>
          <w:lang w:val="nl-NL" w:eastAsia="nl-NL"/>
        </w:rPr>
        <w:t xml:space="preserve"> </w:t>
      </w:r>
      <w:r w:rsidR="00A410A9" w:rsidRPr="005A3821">
        <w:rPr>
          <w:color w:val="000000" w:themeColor="text1"/>
          <w:lang w:val="nl-NL" w:eastAsia="nl-NL"/>
        </w:rPr>
        <w:t xml:space="preserve"> </w:t>
      </w:r>
    </w:p>
    <w:p w14:paraId="16AF626B" w14:textId="01F14466" w:rsidR="00E72292" w:rsidRPr="002E169C" w:rsidRDefault="000A5E32" w:rsidP="003B4F38">
      <w:pPr>
        <w:autoSpaceDE w:val="0"/>
        <w:autoSpaceDN w:val="0"/>
        <w:rPr>
          <w:lang w:val="nl-NL" w:eastAsia="nl-NL"/>
        </w:rPr>
      </w:pPr>
      <w:hyperlink r:id="rId10" w:history="1">
        <w:r w:rsidR="002E169C" w:rsidRPr="002E169C">
          <w:rPr>
            <w:rStyle w:val="Hyperlink"/>
            <w:rFonts w:eastAsia="Times New Roman"/>
            <w:color w:val="auto"/>
            <w:lang w:val="nl-NL"/>
          </w:rPr>
          <w:t>https://www.utwente.nl/onderwijs/master/opleidingen/educatie-betawetenschappen/</w:t>
        </w:r>
      </w:hyperlink>
      <w:r w:rsidR="003B4F38" w:rsidRPr="002E169C">
        <w:rPr>
          <w:lang w:val="nl-NL" w:eastAsia="nl-NL"/>
        </w:rPr>
        <w:t xml:space="preserve"> </w:t>
      </w:r>
    </w:p>
    <w:p w14:paraId="615F5D3D" w14:textId="5E8CBCCC" w:rsidR="00E02D4F" w:rsidRDefault="003B4F38" w:rsidP="00E02D4F">
      <w:pPr>
        <w:autoSpaceDE w:val="0"/>
        <w:autoSpaceDN w:val="0"/>
        <w:rPr>
          <w:color w:val="000000"/>
          <w:lang w:val="nl-NL" w:eastAsia="nl-NL"/>
        </w:rPr>
      </w:pPr>
      <w:r>
        <w:rPr>
          <w:color w:val="000000"/>
          <w:lang w:val="nl-NL" w:eastAsia="nl-NL"/>
        </w:rPr>
        <w:t xml:space="preserve">Als je nog vragen hebt, </w:t>
      </w:r>
      <w:r w:rsidR="00A9641C">
        <w:rPr>
          <w:color w:val="000000"/>
          <w:lang w:val="nl-NL" w:eastAsia="nl-NL"/>
        </w:rPr>
        <w:t>kom vooral naar de Minor Fair, dan kun je ook kennismaken met docenten</w:t>
      </w:r>
      <w:r w:rsidR="005A3821">
        <w:rPr>
          <w:color w:val="000000"/>
          <w:lang w:val="nl-NL" w:eastAsia="nl-NL"/>
        </w:rPr>
        <w:t>!</w:t>
      </w:r>
    </w:p>
    <w:p w14:paraId="2288DA1C" w14:textId="77777777" w:rsidR="00E72292" w:rsidRDefault="00E72292" w:rsidP="00E02D4F">
      <w:pPr>
        <w:autoSpaceDE w:val="0"/>
        <w:autoSpaceDN w:val="0"/>
        <w:rPr>
          <w:color w:val="000000"/>
          <w:lang w:val="nl-NL" w:eastAsia="nl-NL"/>
        </w:rPr>
      </w:pPr>
    </w:p>
    <w:p w14:paraId="77241BB1" w14:textId="239C6E55" w:rsidR="00E02D4F" w:rsidRDefault="00C401B4" w:rsidP="00E02D4F">
      <w:pPr>
        <w:autoSpaceDE w:val="0"/>
        <w:autoSpaceDN w:val="0"/>
        <w:rPr>
          <w:color w:val="000000"/>
          <w:lang w:val="nl-NL" w:eastAsia="nl-NL"/>
        </w:rPr>
      </w:pPr>
      <w:r>
        <w:rPr>
          <w:color w:val="000000"/>
          <w:lang w:val="nl-NL" w:eastAsia="nl-NL"/>
        </w:rPr>
        <w:t>Tom Morsink</w:t>
      </w:r>
      <w:r w:rsidR="00E02D4F">
        <w:rPr>
          <w:color w:val="000000"/>
          <w:lang w:val="nl-NL" w:eastAsia="nl-NL"/>
        </w:rPr>
        <w:t xml:space="preserve"> – onderwijscoördinator en studieadviseur</w:t>
      </w:r>
    </w:p>
    <w:p w14:paraId="5330CBCA" w14:textId="00C9CE27" w:rsidR="00927B75" w:rsidRDefault="00927B75" w:rsidP="00E02D4F">
      <w:pPr>
        <w:autoSpaceDE w:val="0"/>
        <w:autoSpaceDN w:val="0"/>
        <w:rPr>
          <w:color w:val="000000"/>
          <w:lang w:val="nl-NL" w:eastAsia="nl-NL"/>
        </w:rPr>
      </w:pPr>
    </w:p>
    <w:p w14:paraId="27EF09E3" w14:textId="2D4758FA" w:rsidR="00927B75" w:rsidRPr="00C66683" w:rsidRDefault="00927B75" w:rsidP="00927B75">
      <w:pPr>
        <w:autoSpaceDE w:val="0"/>
        <w:autoSpaceDN w:val="0"/>
        <w:rPr>
          <w:rFonts w:asciiTheme="minorHAnsi" w:eastAsiaTheme="minorEastAsia" w:hAnsiTheme="minorHAnsi" w:cstheme="minorBidi"/>
          <w:b/>
          <w:bCs/>
          <w:noProof/>
          <w:color w:val="1F4E79" w:themeColor="accent1" w:themeShade="80"/>
          <w:sz w:val="20"/>
          <w:szCs w:val="20"/>
          <w:lang w:val="nl-NL" w:eastAsia="nl-NL"/>
        </w:rPr>
      </w:pPr>
      <w:r>
        <w:rPr>
          <w:rFonts w:asciiTheme="minorHAnsi" w:eastAsiaTheme="minorEastAsia" w:hAnsiTheme="minorHAnsi" w:cstheme="minorBidi"/>
          <w:b/>
          <w:bCs/>
          <w:noProof/>
          <w:color w:val="1F4E79" w:themeColor="accent1" w:themeShade="80"/>
          <w:sz w:val="20"/>
          <w:szCs w:val="20"/>
          <w:lang w:val="nl-NL" w:eastAsia="nl-NL"/>
        </w:rPr>
        <w:t xml:space="preserve">UT-Lerarenopleidingen, </w:t>
      </w:r>
      <w:r w:rsidR="00E868E3">
        <w:rPr>
          <w:rFonts w:asciiTheme="minorHAnsi" w:eastAsiaTheme="minorEastAsia" w:hAnsiTheme="minorHAnsi" w:cstheme="minorBidi"/>
          <w:b/>
          <w:bCs/>
          <w:noProof/>
          <w:color w:val="1F4E79" w:themeColor="accent1" w:themeShade="80"/>
          <w:sz w:val="20"/>
          <w:szCs w:val="20"/>
          <w:lang w:val="nl-NL" w:eastAsia="nl-NL"/>
        </w:rPr>
        <w:t xml:space="preserve">Sectie </w:t>
      </w:r>
      <w:r w:rsidRPr="00C66683">
        <w:rPr>
          <w:rFonts w:asciiTheme="minorHAnsi" w:eastAsiaTheme="minorEastAsia" w:hAnsiTheme="minorHAnsi" w:cstheme="minorBidi"/>
          <w:b/>
          <w:bCs/>
          <w:noProof/>
          <w:color w:val="1F4E79" w:themeColor="accent1" w:themeShade="80"/>
          <w:sz w:val="20"/>
          <w:szCs w:val="20"/>
          <w:lang w:val="nl-NL" w:eastAsia="nl-NL"/>
        </w:rPr>
        <w:t xml:space="preserve">ELAN Docentontwikkeling </w:t>
      </w:r>
    </w:p>
    <w:p w14:paraId="26AA8C23" w14:textId="1BACD89E" w:rsidR="00A36423" w:rsidRPr="00551D65" w:rsidRDefault="00A36423" w:rsidP="00A36423">
      <w:pPr>
        <w:autoSpaceDE w:val="0"/>
        <w:autoSpaceDN w:val="0"/>
        <w:rPr>
          <w:rFonts w:asciiTheme="minorHAnsi" w:eastAsiaTheme="minorEastAsia" w:hAnsiTheme="minorHAnsi" w:cstheme="minorBidi"/>
          <w:noProof/>
          <w:color w:val="1F4E79" w:themeColor="accent1" w:themeShade="80"/>
          <w:lang w:val="en-GB"/>
        </w:rPr>
      </w:pPr>
      <w:r w:rsidRPr="00551D65">
        <w:rPr>
          <w:rFonts w:asciiTheme="minorHAnsi" w:eastAsiaTheme="minorEastAsia" w:hAnsiTheme="minorHAnsi" w:cstheme="minorBidi"/>
          <w:b/>
          <w:bCs/>
          <w:noProof/>
          <w:color w:val="1F4E79" w:themeColor="accent1" w:themeShade="80"/>
          <w:sz w:val="20"/>
          <w:szCs w:val="20"/>
          <w:lang w:val="en-GB" w:eastAsia="nl-NL"/>
        </w:rPr>
        <w:t xml:space="preserve">Universiteit Twente, Faculty of Behavioural, Management &amp; Social Sciences </w:t>
      </w:r>
    </w:p>
    <w:p w14:paraId="2C55024F" w14:textId="5F1BF666" w:rsidR="00856BA5" w:rsidRPr="00551D65" w:rsidRDefault="00856BA5">
      <w:pPr>
        <w:rPr>
          <w:lang w:val="en-GB"/>
        </w:rPr>
      </w:pPr>
    </w:p>
    <w:sectPr w:rsidR="00856BA5" w:rsidRPr="00551D6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F366" w14:textId="77777777" w:rsidR="00604CFF" w:rsidRDefault="00604CFF" w:rsidP="00B2241B">
      <w:r>
        <w:separator/>
      </w:r>
    </w:p>
  </w:endnote>
  <w:endnote w:type="continuationSeparator" w:id="0">
    <w:p w14:paraId="4875C22C" w14:textId="77777777" w:rsidR="00604CFF" w:rsidRDefault="00604CFF" w:rsidP="00B2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013134"/>
      <w:docPartObj>
        <w:docPartGallery w:val="Page Numbers (Bottom of Page)"/>
        <w:docPartUnique/>
      </w:docPartObj>
    </w:sdtPr>
    <w:sdtEndPr>
      <w:rPr>
        <w:noProof/>
      </w:rPr>
    </w:sdtEndPr>
    <w:sdtContent>
      <w:p w14:paraId="62D6B5AD" w14:textId="18A9469A" w:rsidR="00B2241B" w:rsidRDefault="00B2241B">
        <w:pPr>
          <w:pStyle w:val="Footer"/>
          <w:jc w:val="right"/>
        </w:pPr>
        <w:r>
          <w:fldChar w:fldCharType="begin"/>
        </w:r>
        <w:r>
          <w:instrText xml:space="preserve"> PAGE   \* MERGEFORMAT </w:instrText>
        </w:r>
        <w:r>
          <w:fldChar w:fldCharType="separate"/>
        </w:r>
        <w:r w:rsidR="00A410A9">
          <w:rPr>
            <w:noProof/>
          </w:rPr>
          <w:t>1</w:t>
        </w:r>
        <w:r>
          <w:rPr>
            <w:noProof/>
          </w:rPr>
          <w:fldChar w:fldCharType="end"/>
        </w:r>
      </w:p>
    </w:sdtContent>
  </w:sdt>
  <w:p w14:paraId="3ECF14A4" w14:textId="77777777" w:rsidR="00B2241B" w:rsidRDefault="00B22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A36B" w14:textId="77777777" w:rsidR="00604CFF" w:rsidRDefault="00604CFF" w:rsidP="00B2241B">
      <w:r>
        <w:separator/>
      </w:r>
    </w:p>
  </w:footnote>
  <w:footnote w:type="continuationSeparator" w:id="0">
    <w:p w14:paraId="331966C9" w14:textId="77777777" w:rsidR="00604CFF" w:rsidRDefault="00604CFF" w:rsidP="00B22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4F"/>
    <w:rsid w:val="00022757"/>
    <w:rsid w:val="00077504"/>
    <w:rsid w:val="0009018F"/>
    <w:rsid w:val="00096381"/>
    <w:rsid w:val="000A26F9"/>
    <w:rsid w:val="000A5E32"/>
    <w:rsid w:val="000B583A"/>
    <w:rsid w:val="000D2C74"/>
    <w:rsid w:val="000E2361"/>
    <w:rsid w:val="000F061D"/>
    <w:rsid w:val="0014501C"/>
    <w:rsid w:val="00146EAB"/>
    <w:rsid w:val="00180BD9"/>
    <w:rsid w:val="0020166E"/>
    <w:rsid w:val="002166C0"/>
    <w:rsid w:val="00237E3D"/>
    <w:rsid w:val="00266953"/>
    <w:rsid w:val="002740FB"/>
    <w:rsid w:val="00285972"/>
    <w:rsid w:val="00294E88"/>
    <w:rsid w:val="002A74E2"/>
    <w:rsid w:val="002E169C"/>
    <w:rsid w:val="00315A48"/>
    <w:rsid w:val="00391D19"/>
    <w:rsid w:val="0039288B"/>
    <w:rsid w:val="003931D3"/>
    <w:rsid w:val="003B4F38"/>
    <w:rsid w:val="003C4249"/>
    <w:rsid w:val="00412FD0"/>
    <w:rsid w:val="00472F9F"/>
    <w:rsid w:val="004A06D1"/>
    <w:rsid w:val="004C7903"/>
    <w:rsid w:val="004E4927"/>
    <w:rsid w:val="005155D4"/>
    <w:rsid w:val="00551D65"/>
    <w:rsid w:val="00585054"/>
    <w:rsid w:val="005A3821"/>
    <w:rsid w:val="005D4795"/>
    <w:rsid w:val="00604CFF"/>
    <w:rsid w:val="00625E6B"/>
    <w:rsid w:val="006A6BB1"/>
    <w:rsid w:val="006A7483"/>
    <w:rsid w:val="006F442A"/>
    <w:rsid w:val="00717B1B"/>
    <w:rsid w:val="00744550"/>
    <w:rsid w:val="00745AFE"/>
    <w:rsid w:val="007B0065"/>
    <w:rsid w:val="00822004"/>
    <w:rsid w:val="00830031"/>
    <w:rsid w:val="00843706"/>
    <w:rsid w:val="00856BA5"/>
    <w:rsid w:val="008809CB"/>
    <w:rsid w:val="00884F27"/>
    <w:rsid w:val="008D06D8"/>
    <w:rsid w:val="00927B75"/>
    <w:rsid w:val="009302DB"/>
    <w:rsid w:val="00931DFD"/>
    <w:rsid w:val="0093616F"/>
    <w:rsid w:val="00956A14"/>
    <w:rsid w:val="009A1780"/>
    <w:rsid w:val="009C508B"/>
    <w:rsid w:val="009D38B8"/>
    <w:rsid w:val="00A2091F"/>
    <w:rsid w:val="00A36423"/>
    <w:rsid w:val="00A410A9"/>
    <w:rsid w:val="00A75035"/>
    <w:rsid w:val="00A84035"/>
    <w:rsid w:val="00A9641C"/>
    <w:rsid w:val="00AC69E8"/>
    <w:rsid w:val="00B2241B"/>
    <w:rsid w:val="00B365BE"/>
    <w:rsid w:val="00B42361"/>
    <w:rsid w:val="00B641DB"/>
    <w:rsid w:val="00C13A78"/>
    <w:rsid w:val="00C24728"/>
    <w:rsid w:val="00C401B4"/>
    <w:rsid w:val="00C564B3"/>
    <w:rsid w:val="00C66683"/>
    <w:rsid w:val="00CA1D86"/>
    <w:rsid w:val="00D249DA"/>
    <w:rsid w:val="00D358B7"/>
    <w:rsid w:val="00D41A8E"/>
    <w:rsid w:val="00D50584"/>
    <w:rsid w:val="00DC4B96"/>
    <w:rsid w:val="00DF5FF0"/>
    <w:rsid w:val="00E02D4F"/>
    <w:rsid w:val="00E119A4"/>
    <w:rsid w:val="00E13BB4"/>
    <w:rsid w:val="00E72292"/>
    <w:rsid w:val="00E868E3"/>
    <w:rsid w:val="00EA2C57"/>
    <w:rsid w:val="00EC5AF7"/>
    <w:rsid w:val="00EE1A14"/>
    <w:rsid w:val="00F12B0C"/>
    <w:rsid w:val="00F2485E"/>
    <w:rsid w:val="00F431C6"/>
    <w:rsid w:val="00F91785"/>
    <w:rsid w:val="00F92944"/>
    <w:rsid w:val="00FB2937"/>
    <w:rsid w:val="00FB50EF"/>
    <w:rsid w:val="00FC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FC37"/>
  <w15:chartTrackingRefBased/>
  <w15:docId w15:val="{0B628F67-533A-4C40-BBF3-711DC23D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D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D4F"/>
    <w:rPr>
      <w:color w:val="0000FF"/>
      <w:u w:val="single"/>
    </w:rPr>
  </w:style>
  <w:style w:type="paragraph" w:customStyle="1" w:styleId="wh-whnormal">
    <w:name w:val="wh-whnormal"/>
    <w:basedOn w:val="Normal"/>
    <w:rsid w:val="00E02D4F"/>
    <w:rPr>
      <w:rFonts w:ascii="Arial" w:hAnsi="Arial" w:cs="Arial"/>
      <w:color w:val="222222"/>
      <w:sz w:val="24"/>
      <w:szCs w:val="24"/>
    </w:rPr>
  </w:style>
  <w:style w:type="character" w:styleId="FollowedHyperlink">
    <w:name w:val="FollowedHyperlink"/>
    <w:basedOn w:val="DefaultParagraphFont"/>
    <w:uiPriority w:val="99"/>
    <w:semiHidden/>
    <w:unhideWhenUsed/>
    <w:rsid w:val="0009018F"/>
    <w:rPr>
      <w:color w:val="954F72" w:themeColor="followedHyperlink"/>
      <w:u w:val="single"/>
    </w:rPr>
  </w:style>
  <w:style w:type="character" w:styleId="CommentReference">
    <w:name w:val="annotation reference"/>
    <w:basedOn w:val="DefaultParagraphFont"/>
    <w:uiPriority w:val="99"/>
    <w:semiHidden/>
    <w:unhideWhenUsed/>
    <w:rsid w:val="0009018F"/>
    <w:rPr>
      <w:sz w:val="16"/>
      <w:szCs w:val="16"/>
    </w:rPr>
  </w:style>
  <w:style w:type="paragraph" w:styleId="CommentText">
    <w:name w:val="annotation text"/>
    <w:basedOn w:val="Normal"/>
    <w:link w:val="CommentTextChar"/>
    <w:uiPriority w:val="99"/>
    <w:semiHidden/>
    <w:unhideWhenUsed/>
    <w:rsid w:val="0009018F"/>
    <w:rPr>
      <w:sz w:val="20"/>
      <w:szCs w:val="20"/>
    </w:rPr>
  </w:style>
  <w:style w:type="character" w:customStyle="1" w:styleId="CommentTextChar">
    <w:name w:val="Comment Text Char"/>
    <w:basedOn w:val="DefaultParagraphFont"/>
    <w:link w:val="CommentText"/>
    <w:uiPriority w:val="99"/>
    <w:semiHidden/>
    <w:rsid w:val="0009018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018F"/>
    <w:rPr>
      <w:b/>
      <w:bCs/>
    </w:rPr>
  </w:style>
  <w:style w:type="character" w:customStyle="1" w:styleId="CommentSubjectChar">
    <w:name w:val="Comment Subject Char"/>
    <w:basedOn w:val="CommentTextChar"/>
    <w:link w:val="CommentSubject"/>
    <w:uiPriority w:val="99"/>
    <w:semiHidden/>
    <w:rsid w:val="0009018F"/>
    <w:rPr>
      <w:rFonts w:ascii="Calibri" w:hAnsi="Calibri" w:cs="Times New Roman"/>
      <w:b/>
      <w:bCs/>
      <w:sz w:val="20"/>
      <w:szCs w:val="20"/>
    </w:rPr>
  </w:style>
  <w:style w:type="paragraph" w:styleId="Revision">
    <w:name w:val="Revision"/>
    <w:hidden/>
    <w:uiPriority w:val="99"/>
    <w:semiHidden/>
    <w:rsid w:val="0009018F"/>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090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18F"/>
    <w:rPr>
      <w:rFonts w:ascii="Segoe UI" w:hAnsi="Segoe UI" w:cs="Segoe UI"/>
      <w:sz w:val="18"/>
      <w:szCs w:val="18"/>
    </w:rPr>
  </w:style>
  <w:style w:type="paragraph" w:styleId="Header">
    <w:name w:val="header"/>
    <w:basedOn w:val="Normal"/>
    <w:link w:val="HeaderChar"/>
    <w:uiPriority w:val="99"/>
    <w:unhideWhenUsed/>
    <w:rsid w:val="00B2241B"/>
    <w:pPr>
      <w:tabs>
        <w:tab w:val="center" w:pos="4680"/>
        <w:tab w:val="right" w:pos="9360"/>
      </w:tabs>
    </w:pPr>
  </w:style>
  <w:style w:type="character" w:customStyle="1" w:styleId="HeaderChar">
    <w:name w:val="Header Char"/>
    <w:basedOn w:val="DefaultParagraphFont"/>
    <w:link w:val="Header"/>
    <w:uiPriority w:val="99"/>
    <w:rsid w:val="00B2241B"/>
    <w:rPr>
      <w:rFonts w:ascii="Calibri" w:hAnsi="Calibri" w:cs="Times New Roman"/>
    </w:rPr>
  </w:style>
  <w:style w:type="paragraph" w:styleId="Footer">
    <w:name w:val="footer"/>
    <w:basedOn w:val="Normal"/>
    <w:link w:val="FooterChar"/>
    <w:uiPriority w:val="99"/>
    <w:unhideWhenUsed/>
    <w:rsid w:val="00B2241B"/>
    <w:pPr>
      <w:tabs>
        <w:tab w:val="center" w:pos="4680"/>
        <w:tab w:val="right" w:pos="9360"/>
      </w:tabs>
    </w:pPr>
  </w:style>
  <w:style w:type="character" w:customStyle="1" w:styleId="FooterChar">
    <w:name w:val="Footer Char"/>
    <w:basedOn w:val="DefaultParagraphFont"/>
    <w:link w:val="Footer"/>
    <w:uiPriority w:val="99"/>
    <w:rsid w:val="00B2241B"/>
    <w:rPr>
      <w:rFonts w:ascii="Calibri" w:hAnsi="Calibri" w:cs="Times New Roman"/>
    </w:rPr>
  </w:style>
  <w:style w:type="paragraph" w:styleId="FootnoteText">
    <w:name w:val="footnote text"/>
    <w:basedOn w:val="Normal"/>
    <w:link w:val="FootnoteTextChar"/>
    <w:uiPriority w:val="99"/>
    <w:semiHidden/>
    <w:unhideWhenUsed/>
    <w:rsid w:val="009D38B8"/>
    <w:rPr>
      <w:sz w:val="20"/>
      <w:szCs w:val="20"/>
    </w:rPr>
  </w:style>
  <w:style w:type="character" w:customStyle="1" w:styleId="FootnoteTextChar">
    <w:name w:val="Footnote Text Char"/>
    <w:basedOn w:val="DefaultParagraphFont"/>
    <w:link w:val="FootnoteText"/>
    <w:uiPriority w:val="99"/>
    <w:semiHidden/>
    <w:rsid w:val="009D38B8"/>
    <w:rPr>
      <w:rFonts w:ascii="Calibri" w:hAnsi="Calibri" w:cs="Times New Roman"/>
      <w:sz w:val="20"/>
      <w:szCs w:val="20"/>
    </w:rPr>
  </w:style>
  <w:style w:type="character" w:styleId="FootnoteReference">
    <w:name w:val="footnote reference"/>
    <w:basedOn w:val="DefaultParagraphFont"/>
    <w:uiPriority w:val="99"/>
    <w:semiHidden/>
    <w:unhideWhenUsed/>
    <w:rsid w:val="009D38B8"/>
    <w:rPr>
      <w:vertAlign w:val="superscript"/>
    </w:rPr>
  </w:style>
  <w:style w:type="character" w:styleId="UnresolvedMention">
    <w:name w:val="Unresolved Mention"/>
    <w:basedOn w:val="DefaultParagraphFont"/>
    <w:uiPriority w:val="99"/>
    <w:semiHidden/>
    <w:unhideWhenUsed/>
    <w:rsid w:val="005A3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67786">
      <w:bodyDiv w:val="1"/>
      <w:marLeft w:val="0"/>
      <w:marRight w:val="0"/>
      <w:marTop w:val="0"/>
      <w:marBottom w:val="0"/>
      <w:divBdr>
        <w:top w:val="none" w:sz="0" w:space="0" w:color="auto"/>
        <w:left w:val="none" w:sz="0" w:space="0" w:color="auto"/>
        <w:bottom w:val="none" w:sz="0" w:space="0" w:color="auto"/>
        <w:right w:val="none" w:sz="0" w:space="0" w:color="auto"/>
      </w:divBdr>
    </w:div>
    <w:div w:id="9063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orsink@utwent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wente.nl/onderwijs/keuzeruimte/minor/inschrijv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twente.nl/onderwijs/master/opleidingen/educatie-betawetenschappen/" TargetMode="External"/><Relationship Id="rId4" Type="http://schemas.openxmlformats.org/officeDocument/2006/relationships/webSettings" Target="webSettings.xml"/><Relationship Id="rId9" Type="http://schemas.openxmlformats.org/officeDocument/2006/relationships/hyperlink" Target="http://www.utwente.nl/lerarenopleid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87826-1D66-4551-85F3-F8C6E085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Twente</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Bruggencate, G.C. ten (BMS)</dc:creator>
  <cp:keywords/>
  <dc:description/>
  <cp:lastModifiedBy>Vijsma, Cindy (UT-CES)</cp:lastModifiedBy>
  <cp:revision>2</cp:revision>
  <dcterms:created xsi:type="dcterms:W3CDTF">2024-01-25T15:27:00Z</dcterms:created>
  <dcterms:modified xsi:type="dcterms:W3CDTF">2024-01-25T15:27:00Z</dcterms:modified>
</cp:coreProperties>
</file>