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13E" w:rsidRPr="00F304EF" w:rsidRDefault="003D6E96" w:rsidP="00E8613E">
      <w:pPr>
        <w:spacing w:before="120" w:after="120"/>
        <w:jc w:val="both"/>
        <w:rPr>
          <w:bCs/>
          <w:iCs/>
          <w:sz w:val="20"/>
          <w:szCs w:val="20"/>
        </w:rPr>
      </w:pPr>
      <w:r>
        <w:rPr>
          <w:b/>
          <w:bCs/>
          <w:iCs/>
          <w:sz w:val="20"/>
          <w:szCs w:val="20"/>
        </w:rPr>
        <w:t xml:space="preserve">OVERGANGSREGELING BACHELOR 2 VOOR STUDENTEN VAN 2012 EN EERDER </w:t>
      </w:r>
    </w:p>
    <w:p w:rsidR="00204B50" w:rsidRDefault="00204B50" w:rsidP="00E8613E">
      <w:pPr>
        <w:rPr>
          <w:rFonts w:eastAsia="Calibri"/>
        </w:rPr>
      </w:pPr>
    </w:p>
    <w:p w:rsidR="003D6E96" w:rsidRPr="00204B50" w:rsidRDefault="00E8613E" w:rsidP="00E8613E">
      <w:pPr>
        <w:rPr>
          <w:rFonts w:eastAsia="Calibri"/>
        </w:rPr>
      </w:pPr>
      <w:r w:rsidRPr="00204B50">
        <w:rPr>
          <w:rFonts w:eastAsia="Calibri"/>
        </w:rPr>
        <w:t xml:space="preserve">Met ingang van 1 september 2013 </w:t>
      </w:r>
      <w:r w:rsidR="003D6E96" w:rsidRPr="00204B50">
        <w:rPr>
          <w:rFonts w:eastAsia="Calibri"/>
        </w:rPr>
        <w:t xml:space="preserve">heeft </w:t>
      </w:r>
      <w:r w:rsidRPr="00204B50">
        <w:rPr>
          <w:rFonts w:eastAsia="Calibri"/>
        </w:rPr>
        <w:t>de Universiteit T</w:t>
      </w:r>
      <w:r w:rsidR="003D6E96" w:rsidRPr="00204B50">
        <w:rPr>
          <w:rFonts w:eastAsia="Calibri"/>
        </w:rPr>
        <w:t xml:space="preserve">wente een nieuw onderwijsmodel </w:t>
      </w:r>
      <w:r w:rsidRPr="00204B50">
        <w:rPr>
          <w:rFonts w:eastAsia="Calibri"/>
        </w:rPr>
        <w:t xml:space="preserve">voor alle </w:t>
      </w:r>
      <w:proofErr w:type="spellStart"/>
      <w:r w:rsidRPr="00204B50">
        <w:rPr>
          <w:rFonts w:eastAsia="Calibri"/>
        </w:rPr>
        <w:t>bacheloropleidingen</w:t>
      </w:r>
      <w:proofErr w:type="spellEnd"/>
      <w:r w:rsidRPr="00204B50">
        <w:rPr>
          <w:rFonts w:eastAsia="Calibri"/>
        </w:rPr>
        <w:t xml:space="preserve">, </w:t>
      </w:r>
      <w:r w:rsidR="003D6E96" w:rsidRPr="00204B50">
        <w:rPr>
          <w:rFonts w:eastAsia="Calibri"/>
        </w:rPr>
        <w:t>het</w:t>
      </w:r>
      <w:r w:rsidRPr="00204B50">
        <w:rPr>
          <w:rFonts w:eastAsia="Calibri"/>
        </w:rPr>
        <w:t xml:space="preserve"> Twents Onderwijs Model (TOM). </w:t>
      </w:r>
      <w:r w:rsidR="00FA63CD">
        <w:rPr>
          <w:rFonts w:eastAsia="Calibri"/>
        </w:rPr>
        <w:t>Het</w:t>
      </w:r>
      <w:r w:rsidRPr="00204B50">
        <w:rPr>
          <w:rFonts w:eastAsia="Calibri"/>
        </w:rPr>
        <w:t xml:space="preserve"> </w:t>
      </w:r>
      <w:proofErr w:type="spellStart"/>
      <w:r w:rsidRPr="00204B50">
        <w:rPr>
          <w:rFonts w:eastAsia="Calibri"/>
        </w:rPr>
        <w:t>bachelorprogramma</w:t>
      </w:r>
      <w:proofErr w:type="spellEnd"/>
      <w:r w:rsidRPr="00204B50">
        <w:rPr>
          <w:rFonts w:eastAsia="Calibri"/>
        </w:rPr>
        <w:t xml:space="preserve"> </w:t>
      </w:r>
      <w:r w:rsidR="007513F7" w:rsidRPr="00204B50">
        <w:rPr>
          <w:rFonts w:eastAsia="Calibri"/>
        </w:rPr>
        <w:t xml:space="preserve">oude stijl </w:t>
      </w:r>
      <w:r w:rsidRPr="00204B50">
        <w:rPr>
          <w:rFonts w:eastAsia="Calibri"/>
        </w:rPr>
        <w:t xml:space="preserve">van Psychologie wordt vervangen door het nieuwe TOM </w:t>
      </w:r>
      <w:proofErr w:type="spellStart"/>
      <w:r w:rsidRPr="00204B50">
        <w:rPr>
          <w:rFonts w:eastAsia="Calibri"/>
        </w:rPr>
        <w:t>bachelorprogramma</w:t>
      </w:r>
      <w:proofErr w:type="spellEnd"/>
      <w:r w:rsidRPr="00204B50">
        <w:rPr>
          <w:rFonts w:eastAsia="Calibri"/>
        </w:rPr>
        <w:t xml:space="preserve">: modules van 15EC per blok. </w:t>
      </w:r>
    </w:p>
    <w:p w:rsidR="003D6E96" w:rsidRPr="00204B50" w:rsidRDefault="003D6E96" w:rsidP="00E8613E">
      <w:pPr>
        <w:rPr>
          <w:rFonts w:eastAsia="Calibri"/>
        </w:rPr>
      </w:pPr>
    </w:p>
    <w:p w:rsidR="00E8613E" w:rsidRPr="00204B50" w:rsidRDefault="00E8613E" w:rsidP="00E8613E">
      <w:pPr>
        <w:rPr>
          <w:rFonts w:eastAsia="Calibri"/>
        </w:rPr>
      </w:pPr>
      <w:r w:rsidRPr="00204B50">
        <w:rPr>
          <w:rFonts w:eastAsia="Calibri"/>
        </w:rPr>
        <w:t xml:space="preserve">Voor het </w:t>
      </w:r>
      <w:proofErr w:type="spellStart"/>
      <w:r w:rsidRPr="00204B50">
        <w:rPr>
          <w:rFonts w:eastAsia="Calibri"/>
        </w:rPr>
        <w:t>bachelorprogramma</w:t>
      </w:r>
      <w:proofErr w:type="spellEnd"/>
      <w:r w:rsidR="00FA63CD">
        <w:rPr>
          <w:rFonts w:eastAsia="Calibri"/>
        </w:rPr>
        <w:t xml:space="preserve"> oude stijl</w:t>
      </w:r>
      <w:r w:rsidRPr="00204B50">
        <w:rPr>
          <w:rFonts w:eastAsia="Calibri"/>
        </w:rPr>
        <w:t xml:space="preserve"> betekent dit: </w:t>
      </w:r>
    </w:p>
    <w:p w:rsidR="002A5F83" w:rsidRPr="00204B50" w:rsidRDefault="002A5F83" w:rsidP="00E8613E">
      <w:pPr>
        <w:rPr>
          <w:rFonts w:eastAsia="Calibri"/>
        </w:rPr>
      </w:pPr>
    </w:p>
    <w:tbl>
      <w:tblPr>
        <w:tblW w:w="8931" w:type="dxa"/>
        <w:tblInd w:w="108" w:type="dxa"/>
        <w:tblCellMar>
          <w:left w:w="0" w:type="dxa"/>
          <w:right w:w="0" w:type="dxa"/>
        </w:tblCellMar>
        <w:tblLook w:val="04A0" w:firstRow="1" w:lastRow="0" w:firstColumn="1" w:lastColumn="0" w:noHBand="0" w:noVBand="1"/>
      </w:tblPr>
      <w:tblGrid>
        <w:gridCol w:w="2268"/>
        <w:gridCol w:w="6663"/>
      </w:tblGrid>
      <w:tr w:rsidR="00E8613E" w:rsidRPr="00204B50" w:rsidTr="002A5F83">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13E" w:rsidRPr="00204B50" w:rsidRDefault="00E8613E" w:rsidP="00B720BF">
            <w:pPr>
              <w:rPr>
                <w:color w:val="222222"/>
                <w:lang w:eastAsia="nl-NL"/>
              </w:rPr>
            </w:pPr>
            <w:r w:rsidRPr="00204B50">
              <w:rPr>
                <w:color w:val="222222"/>
                <w:lang w:eastAsia="nl-NL"/>
              </w:rPr>
              <w:t>Studiejaar 2012-2013</w:t>
            </w:r>
          </w:p>
        </w:tc>
        <w:tc>
          <w:tcPr>
            <w:tcW w:w="6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tbl>
            <w:tblPr>
              <w:tblW w:w="5000" w:type="pct"/>
              <w:tblCellSpacing w:w="0" w:type="dxa"/>
              <w:tblCellMar>
                <w:left w:w="0" w:type="dxa"/>
                <w:right w:w="0" w:type="dxa"/>
              </w:tblCellMar>
              <w:tblLook w:val="04A0" w:firstRow="1" w:lastRow="0" w:firstColumn="1" w:lastColumn="0" w:noHBand="0" w:noVBand="1"/>
            </w:tblPr>
            <w:tblGrid>
              <w:gridCol w:w="720"/>
              <w:gridCol w:w="5727"/>
            </w:tblGrid>
            <w:tr w:rsidR="00E8613E" w:rsidRPr="00204B50" w:rsidTr="00B720BF">
              <w:trPr>
                <w:tblCellSpacing w:w="0" w:type="dxa"/>
              </w:trPr>
              <w:tc>
                <w:tcPr>
                  <w:tcW w:w="720" w:type="dxa"/>
                  <w:noWrap/>
                  <w:hideMark/>
                </w:tcPr>
                <w:p w:rsidR="00E8613E" w:rsidRPr="00204B50" w:rsidRDefault="00E8613E" w:rsidP="00B720BF">
                  <w:pPr>
                    <w:ind w:firstLine="360"/>
                    <w:rPr>
                      <w:lang w:eastAsia="nl-NL"/>
                    </w:rPr>
                  </w:pPr>
                  <w:r w:rsidRPr="00204B50">
                    <w:rPr>
                      <w:lang w:eastAsia="nl-NL"/>
                    </w:rPr>
                    <w:t>·</w:t>
                  </w:r>
                </w:p>
              </w:tc>
              <w:tc>
                <w:tcPr>
                  <w:tcW w:w="5000" w:type="pct"/>
                  <w:hideMark/>
                </w:tcPr>
                <w:p w:rsidR="003D6E96" w:rsidRPr="00204B50" w:rsidRDefault="008862A6" w:rsidP="003D6E96">
                  <w:pPr>
                    <w:rPr>
                      <w:lang w:eastAsia="nl-NL"/>
                    </w:rPr>
                  </w:pPr>
                  <w:r w:rsidRPr="00204B50">
                    <w:rPr>
                      <w:lang w:eastAsia="nl-NL"/>
                    </w:rPr>
                    <w:t xml:space="preserve">Oude stijl </w:t>
                  </w:r>
                  <w:r w:rsidR="00E8613E" w:rsidRPr="00204B50">
                    <w:rPr>
                      <w:lang w:eastAsia="nl-NL"/>
                    </w:rPr>
                    <w:t>eerstejaars (B1) vakken voor het laatst aangeboden</w:t>
                  </w:r>
                </w:p>
                <w:p w:rsidR="003D6E96" w:rsidRPr="00204B50" w:rsidRDefault="003D6E96" w:rsidP="003D6E96">
                  <w:pPr>
                    <w:rPr>
                      <w:lang w:eastAsia="nl-NL"/>
                    </w:rPr>
                  </w:pPr>
                </w:p>
              </w:tc>
            </w:tr>
          </w:tbl>
          <w:p w:rsidR="00E8613E" w:rsidRPr="00204B50" w:rsidRDefault="00E8613E" w:rsidP="00B720BF">
            <w:pPr>
              <w:rPr>
                <w:lang w:eastAsia="nl-NL"/>
              </w:rPr>
            </w:pPr>
          </w:p>
        </w:tc>
      </w:tr>
      <w:tr w:rsidR="00E8613E" w:rsidRPr="00204B50" w:rsidTr="002A5F83">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13E" w:rsidRPr="00204B50" w:rsidRDefault="00E8613E" w:rsidP="00B720BF">
            <w:pPr>
              <w:rPr>
                <w:color w:val="222222"/>
                <w:lang w:eastAsia="nl-NL"/>
              </w:rPr>
            </w:pPr>
            <w:r w:rsidRPr="00204B50">
              <w:rPr>
                <w:color w:val="222222"/>
                <w:lang w:eastAsia="nl-NL"/>
              </w:rPr>
              <w:t>Studiejaar 2013-2014</w:t>
            </w:r>
          </w:p>
        </w:tc>
        <w:tc>
          <w:tcPr>
            <w:tcW w:w="6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tbl>
            <w:tblPr>
              <w:tblW w:w="5000" w:type="pct"/>
              <w:tblCellSpacing w:w="0" w:type="dxa"/>
              <w:tblCellMar>
                <w:left w:w="0" w:type="dxa"/>
                <w:right w:w="0" w:type="dxa"/>
              </w:tblCellMar>
              <w:tblLook w:val="04A0" w:firstRow="1" w:lastRow="0" w:firstColumn="1" w:lastColumn="0" w:noHBand="0" w:noVBand="1"/>
            </w:tblPr>
            <w:tblGrid>
              <w:gridCol w:w="720"/>
              <w:gridCol w:w="5727"/>
            </w:tblGrid>
            <w:tr w:rsidR="00E8613E" w:rsidRPr="00204B50" w:rsidTr="00B720BF">
              <w:trPr>
                <w:tblCellSpacing w:w="0" w:type="dxa"/>
              </w:trPr>
              <w:tc>
                <w:tcPr>
                  <w:tcW w:w="720" w:type="dxa"/>
                  <w:noWrap/>
                  <w:hideMark/>
                </w:tcPr>
                <w:p w:rsidR="00E8613E" w:rsidRPr="00204B50" w:rsidRDefault="00E8613E" w:rsidP="00B720BF">
                  <w:pPr>
                    <w:ind w:firstLine="360"/>
                    <w:rPr>
                      <w:lang w:eastAsia="nl-NL"/>
                    </w:rPr>
                  </w:pPr>
                  <w:r w:rsidRPr="00204B50">
                    <w:rPr>
                      <w:lang w:eastAsia="nl-NL"/>
                    </w:rPr>
                    <w:t>·</w:t>
                  </w:r>
                </w:p>
              </w:tc>
              <w:tc>
                <w:tcPr>
                  <w:tcW w:w="5000" w:type="pct"/>
                  <w:hideMark/>
                </w:tcPr>
                <w:p w:rsidR="00E8613E" w:rsidRPr="00204B50" w:rsidRDefault="008862A6" w:rsidP="008862A6">
                  <w:pPr>
                    <w:rPr>
                      <w:lang w:eastAsia="nl-NL"/>
                    </w:rPr>
                  </w:pPr>
                  <w:r w:rsidRPr="00204B50">
                    <w:rPr>
                      <w:lang w:eastAsia="nl-NL"/>
                    </w:rPr>
                    <w:t>Oude stijl</w:t>
                  </w:r>
                  <w:r w:rsidR="00E8613E" w:rsidRPr="00204B50">
                    <w:rPr>
                      <w:lang w:eastAsia="nl-NL"/>
                    </w:rPr>
                    <w:t xml:space="preserve"> </w:t>
                  </w:r>
                  <w:r w:rsidR="00E8613E" w:rsidRPr="0008041B">
                    <w:rPr>
                      <w:lang w:eastAsia="nl-NL"/>
                    </w:rPr>
                    <w:t>tweedejaars</w:t>
                  </w:r>
                  <w:r w:rsidR="00E8613E" w:rsidRPr="00204B50">
                    <w:rPr>
                      <w:lang w:eastAsia="nl-NL"/>
                    </w:rPr>
                    <w:t xml:space="preserve"> (B2) vakken voor het laatst aangeboden</w:t>
                  </w:r>
                </w:p>
                <w:p w:rsidR="003D6E96" w:rsidRPr="00204B50" w:rsidRDefault="003D6E96" w:rsidP="008862A6">
                  <w:pPr>
                    <w:rPr>
                      <w:lang w:eastAsia="nl-NL"/>
                    </w:rPr>
                  </w:pPr>
                </w:p>
              </w:tc>
            </w:tr>
          </w:tbl>
          <w:p w:rsidR="00E8613E" w:rsidRPr="00204B50" w:rsidRDefault="00E8613E" w:rsidP="00B720BF">
            <w:pPr>
              <w:rPr>
                <w:vanish/>
                <w:lang w:eastAsia="nl-NL"/>
              </w:rPr>
            </w:pPr>
          </w:p>
          <w:tbl>
            <w:tblPr>
              <w:tblW w:w="5000" w:type="pct"/>
              <w:tblCellSpacing w:w="0" w:type="dxa"/>
              <w:tblCellMar>
                <w:left w:w="0" w:type="dxa"/>
                <w:right w:w="0" w:type="dxa"/>
              </w:tblCellMar>
              <w:tblLook w:val="04A0" w:firstRow="1" w:lastRow="0" w:firstColumn="1" w:lastColumn="0" w:noHBand="0" w:noVBand="1"/>
            </w:tblPr>
            <w:tblGrid>
              <w:gridCol w:w="720"/>
              <w:gridCol w:w="5727"/>
            </w:tblGrid>
            <w:tr w:rsidR="00E8613E" w:rsidRPr="00204B50" w:rsidTr="00B720BF">
              <w:trPr>
                <w:tblCellSpacing w:w="0" w:type="dxa"/>
              </w:trPr>
              <w:tc>
                <w:tcPr>
                  <w:tcW w:w="720" w:type="dxa"/>
                  <w:noWrap/>
                  <w:hideMark/>
                </w:tcPr>
                <w:p w:rsidR="00E8613E" w:rsidRPr="00204B50" w:rsidRDefault="00E8613E" w:rsidP="00B720BF">
                  <w:pPr>
                    <w:ind w:firstLine="360"/>
                    <w:rPr>
                      <w:lang w:eastAsia="nl-NL"/>
                    </w:rPr>
                  </w:pPr>
                  <w:r w:rsidRPr="00204B50">
                    <w:rPr>
                      <w:lang w:eastAsia="nl-NL"/>
                    </w:rPr>
                    <w:t>·</w:t>
                  </w:r>
                </w:p>
              </w:tc>
              <w:tc>
                <w:tcPr>
                  <w:tcW w:w="5000" w:type="pct"/>
                  <w:hideMark/>
                </w:tcPr>
                <w:p w:rsidR="00E8613E" w:rsidRPr="00204B50" w:rsidRDefault="00E8613E" w:rsidP="00B720BF">
                  <w:pPr>
                    <w:rPr>
                      <w:lang w:eastAsia="nl-NL"/>
                    </w:rPr>
                  </w:pPr>
                  <w:r w:rsidRPr="00204B50">
                    <w:rPr>
                      <w:lang w:eastAsia="nl-NL"/>
                    </w:rPr>
                    <w:t xml:space="preserve">Laatste herkansingen van </w:t>
                  </w:r>
                  <w:r w:rsidR="008862A6" w:rsidRPr="00204B50">
                    <w:rPr>
                      <w:lang w:eastAsia="nl-NL"/>
                    </w:rPr>
                    <w:t xml:space="preserve">oude stijl </w:t>
                  </w:r>
                  <w:r w:rsidRPr="00204B50">
                    <w:rPr>
                      <w:lang w:eastAsia="nl-NL"/>
                    </w:rPr>
                    <w:t>B1-vakken</w:t>
                  </w:r>
                </w:p>
              </w:tc>
            </w:tr>
          </w:tbl>
          <w:p w:rsidR="00E8613E" w:rsidRPr="00204B50" w:rsidRDefault="00E8613E" w:rsidP="00B720BF">
            <w:pPr>
              <w:rPr>
                <w:lang w:eastAsia="nl-NL"/>
              </w:rPr>
            </w:pPr>
          </w:p>
        </w:tc>
      </w:tr>
      <w:tr w:rsidR="00E8613E" w:rsidRPr="00204B50" w:rsidTr="002A5F83">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13E" w:rsidRPr="00204B50" w:rsidRDefault="00E8613E" w:rsidP="00B720BF">
            <w:pPr>
              <w:rPr>
                <w:color w:val="222222"/>
                <w:lang w:eastAsia="nl-NL"/>
              </w:rPr>
            </w:pPr>
            <w:r w:rsidRPr="00204B50">
              <w:rPr>
                <w:color w:val="222222"/>
                <w:lang w:eastAsia="nl-NL"/>
              </w:rPr>
              <w:t>Studiejaar 2014-2015</w:t>
            </w:r>
          </w:p>
        </w:tc>
        <w:tc>
          <w:tcPr>
            <w:tcW w:w="6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tbl>
            <w:tblPr>
              <w:tblW w:w="5000" w:type="pct"/>
              <w:tblCellSpacing w:w="0" w:type="dxa"/>
              <w:tblCellMar>
                <w:left w:w="0" w:type="dxa"/>
                <w:right w:w="0" w:type="dxa"/>
              </w:tblCellMar>
              <w:tblLook w:val="04A0" w:firstRow="1" w:lastRow="0" w:firstColumn="1" w:lastColumn="0" w:noHBand="0" w:noVBand="1"/>
            </w:tblPr>
            <w:tblGrid>
              <w:gridCol w:w="720"/>
              <w:gridCol w:w="5727"/>
            </w:tblGrid>
            <w:tr w:rsidR="00E8613E" w:rsidRPr="00204B50" w:rsidTr="00B720BF">
              <w:trPr>
                <w:tblCellSpacing w:w="0" w:type="dxa"/>
              </w:trPr>
              <w:tc>
                <w:tcPr>
                  <w:tcW w:w="720" w:type="dxa"/>
                  <w:noWrap/>
                  <w:hideMark/>
                </w:tcPr>
                <w:p w:rsidR="00E8613E" w:rsidRPr="00204B50" w:rsidRDefault="00E8613E" w:rsidP="00B720BF">
                  <w:pPr>
                    <w:ind w:firstLine="360"/>
                    <w:rPr>
                      <w:lang w:eastAsia="nl-NL"/>
                    </w:rPr>
                  </w:pPr>
                  <w:r w:rsidRPr="00204B50">
                    <w:rPr>
                      <w:color w:val="222222"/>
                      <w:lang w:eastAsia="nl-NL"/>
                    </w:rPr>
                    <w:t>·</w:t>
                  </w:r>
                </w:p>
              </w:tc>
              <w:tc>
                <w:tcPr>
                  <w:tcW w:w="5000" w:type="pct"/>
                  <w:hideMark/>
                </w:tcPr>
                <w:p w:rsidR="00E8613E" w:rsidRPr="00204B50" w:rsidRDefault="003D6E96" w:rsidP="003D6E96">
                  <w:pPr>
                    <w:rPr>
                      <w:color w:val="222222"/>
                      <w:lang w:eastAsia="nl-NL"/>
                    </w:rPr>
                  </w:pPr>
                  <w:r w:rsidRPr="00204B50">
                    <w:rPr>
                      <w:lang w:eastAsia="nl-NL"/>
                    </w:rPr>
                    <w:t>Oude stijl</w:t>
                  </w:r>
                  <w:r w:rsidR="00E8613E" w:rsidRPr="00204B50">
                    <w:rPr>
                      <w:lang w:eastAsia="nl-NL"/>
                    </w:rPr>
                    <w:t xml:space="preserve"> </w:t>
                  </w:r>
                  <w:r w:rsidR="00E8613E" w:rsidRPr="0008041B">
                    <w:rPr>
                      <w:lang w:eastAsia="nl-NL"/>
                    </w:rPr>
                    <w:t>derdejaars</w:t>
                  </w:r>
                  <w:r w:rsidR="00E8613E" w:rsidRPr="00204B50">
                    <w:rPr>
                      <w:lang w:eastAsia="nl-NL"/>
                    </w:rPr>
                    <w:t xml:space="preserve"> (B3) vakken voor</w:t>
                  </w:r>
                  <w:r w:rsidR="00E8613E" w:rsidRPr="00204B50">
                    <w:rPr>
                      <w:color w:val="222222"/>
                      <w:lang w:eastAsia="nl-NL"/>
                    </w:rPr>
                    <w:t xml:space="preserve"> het laatst aangeboden</w:t>
                  </w:r>
                </w:p>
                <w:p w:rsidR="003D6E96" w:rsidRPr="00204B50" w:rsidRDefault="003D6E96" w:rsidP="003D6E96">
                  <w:pPr>
                    <w:rPr>
                      <w:color w:val="222222"/>
                      <w:lang w:eastAsia="nl-NL"/>
                    </w:rPr>
                  </w:pPr>
                </w:p>
              </w:tc>
            </w:tr>
          </w:tbl>
          <w:p w:rsidR="00E8613E" w:rsidRPr="00204B50" w:rsidRDefault="00E8613E" w:rsidP="00B720BF">
            <w:pPr>
              <w:rPr>
                <w:vanish/>
                <w:lang w:eastAsia="nl-NL"/>
              </w:rPr>
            </w:pPr>
          </w:p>
          <w:tbl>
            <w:tblPr>
              <w:tblW w:w="5000" w:type="pct"/>
              <w:tblCellSpacing w:w="0" w:type="dxa"/>
              <w:tblCellMar>
                <w:left w:w="0" w:type="dxa"/>
                <w:right w:w="0" w:type="dxa"/>
              </w:tblCellMar>
              <w:tblLook w:val="04A0" w:firstRow="1" w:lastRow="0" w:firstColumn="1" w:lastColumn="0" w:noHBand="0" w:noVBand="1"/>
            </w:tblPr>
            <w:tblGrid>
              <w:gridCol w:w="720"/>
              <w:gridCol w:w="5727"/>
            </w:tblGrid>
            <w:tr w:rsidR="00E8613E" w:rsidRPr="00204B50" w:rsidTr="00B720BF">
              <w:trPr>
                <w:tblCellSpacing w:w="0" w:type="dxa"/>
              </w:trPr>
              <w:tc>
                <w:tcPr>
                  <w:tcW w:w="720" w:type="dxa"/>
                  <w:noWrap/>
                  <w:hideMark/>
                </w:tcPr>
                <w:p w:rsidR="00E8613E" w:rsidRPr="00204B50" w:rsidRDefault="00E8613E" w:rsidP="00B720BF">
                  <w:pPr>
                    <w:ind w:firstLine="360"/>
                    <w:rPr>
                      <w:lang w:eastAsia="nl-NL"/>
                    </w:rPr>
                  </w:pPr>
                  <w:r w:rsidRPr="00204B50">
                    <w:rPr>
                      <w:color w:val="222222"/>
                      <w:lang w:eastAsia="nl-NL"/>
                    </w:rPr>
                    <w:t>·</w:t>
                  </w:r>
                </w:p>
              </w:tc>
              <w:tc>
                <w:tcPr>
                  <w:tcW w:w="5000" w:type="pct"/>
                  <w:hideMark/>
                </w:tcPr>
                <w:p w:rsidR="00E8613E" w:rsidRPr="00204B50" w:rsidRDefault="00E8613E" w:rsidP="00B720BF">
                  <w:pPr>
                    <w:rPr>
                      <w:color w:val="222222"/>
                      <w:lang w:eastAsia="nl-NL"/>
                    </w:rPr>
                  </w:pPr>
                  <w:r w:rsidRPr="00204B50">
                    <w:rPr>
                      <w:color w:val="222222"/>
                      <w:lang w:eastAsia="nl-NL"/>
                    </w:rPr>
                    <w:t xml:space="preserve">Laatste herkansingen voor </w:t>
                  </w:r>
                  <w:r w:rsidR="008862A6" w:rsidRPr="00204B50">
                    <w:rPr>
                      <w:color w:val="222222"/>
                      <w:lang w:eastAsia="nl-NL"/>
                    </w:rPr>
                    <w:t xml:space="preserve">oude stijl </w:t>
                  </w:r>
                  <w:r w:rsidRPr="00204B50">
                    <w:rPr>
                      <w:color w:val="222222"/>
                      <w:lang w:eastAsia="nl-NL"/>
                    </w:rPr>
                    <w:t>B2-vakken</w:t>
                  </w:r>
                </w:p>
              </w:tc>
            </w:tr>
          </w:tbl>
          <w:p w:rsidR="00E8613E" w:rsidRPr="00204B50" w:rsidRDefault="00E8613E" w:rsidP="00B720BF">
            <w:pPr>
              <w:rPr>
                <w:lang w:eastAsia="nl-NL"/>
              </w:rPr>
            </w:pPr>
          </w:p>
        </w:tc>
      </w:tr>
      <w:tr w:rsidR="00E8613E" w:rsidRPr="00204B50" w:rsidTr="002A5F83">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8613E" w:rsidRPr="00204B50" w:rsidRDefault="00E8613E" w:rsidP="00B720BF">
            <w:pPr>
              <w:rPr>
                <w:color w:val="222222"/>
                <w:lang w:eastAsia="nl-NL"/>
              </w:rPr>
            </w:pPr>
            <w:r w:rsidRPr="00204B50">
              <w:rPr>
                <w:color w:val="222222"/>
                <w:lang w:eastAsia="nl-NL"/>
              </w:rPr>
              <w:t>Studiejaar 2015-2016</w:t>
            </w:r>
          </w:p>
        </w:tc>
        <w:tc>
          <w:tcPr>
            <w:tcW w:w="66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tbl>
            <w:tblPr>
              <w:tblW w:w="5000" w:type="pct"/>
              <w:tblCellSpacing w:w="0" w:type="dxa"/>
              <w:tblCellMar>
                <w:left w:w="0" w:type="dxa"/>
                <w:right w:w="0" w:type="dxa"/>
              </w:tblCellMar>
              <w:tblLook w:val="04A0" w:firstRow="1" w:lastRow="0" w:firstColumn="1" w:lastColumn="0" w:noHBand="0" w:noVBand="1"/>
            </w:tblPr>
            <w:tblGrid>
              <w:gridCol w:w="720"/>
              <w:gridCol w:w="5727"/>
            </w:tblGrid>
            <w:tr w:rsidR="00E8613E" w:rsidRPr="00204B50" w:rsidTr="00B720BF">
              <w:trPr>
                <w:tblCellSpacing w:w="0" w:type="dxa"/>
              </w:trPr>
              <w:tc>
                <w:tcPr>
                  <w:tcW w:w="720" w:type="dxa"/>
                  <w:noWrap/>
                  <w:hideMark/>
                </w:tcPr>
                <w:p w:rsidR="00E8613E" w:rsidRPr="00204B50" w:rsidRDefault="00E8613E" w:rsidP="00B720BF">
                  <w:pPr>
                    <w:ind w:firstLine="360"/>
                    <w:rPr>
                      <w:color w:val="222222"/>
                      <w:lang w:eastAsia="nl-NL"/>
                    </w:rPr>
                  </w:pPr>
                  <w:r w:rsidRPr="00204B50">
                    <w:rPr>
                      <w:color w:val="222222"/>
                      <w:lang w:eastAsia="nl-NL"/>
                    </w:rPr>
                    <w:t>·</w:t>
                  </w:r>
                </w:p>
                <w:p w:rsidR="003D6E96" w:rsidRPr="00204B50" w:rsidRDefault="003D6E96" w:rsidP="00B720BF">
                  <w:pPr>
                    <w:ind w:firstLine="360"/>
                    <w:rPr>
                      <w:lang w:eastAsia="nl-NL"/>
                    </w:rPr>
                  </w:pPr>
                </w:p>
              </w:tc>
              <w:tc>
                <w:tcPr>
                  <w:tcW w:w="5000" w:type="pct"/>
                  <w:hideMark/>
                </w:tcPr>
                <w:p w:rsidR="003D6E96" w:rsidRPr="00204B50" w:rsidRDefault="00E8613E" w:rsidP="00B720BF">
                  <w:pPr>
                    <w:rPr>
                      <w:color w:val="222222"/>
                      <w:lang w:eastAsia="nl-NL"/>
                    </w:rPr>
                  </w:pPr>
                  <w:r w:rsidRPr="00204B50">
                    <w:rPr>
                      <w:color w:val="222222"/>
                      <w:lang w:eastAsia="nl-NL"/>
                    </w:rPr>
                    <w:t xml:space="preserve">Laatste herkansingen voor </w:t>
                  </w:r>
                  <w:r w:rsidR="008862A6" w:rsidRPr="00204B50">
                    <w:rPr>
                      <w:color w:val="222222"/>
                      <w:lang w:eastAsia="nl-NL"/>
                    </w:rPr>
                    <w:t xml:space="preserve">oude stijl </w:t>
                  </w:r>
                  <w:r w:rsidRPr="00204B50">
                    <w:rPr>
                      <w:color w:val="222222"/>
                      <w:lang w:eastAsia="nl-NL"/>
                    </w:rPr>
                    <w:t>B3-vakken</w:t>
                  </w:r>
                </w:p>
              </w:tc>
            </w:tr>
          </w:tbl>
          <w:p w:rsidR="00E8613E" w:rsidRPr="00204B50" w:rsidRDefault="00E8613E" w:rsidP="00B720BF">
            <w:pPr>
              <w:rPr>
                <w:lang w:eastAsia="nl-NL"/>
              </w:rPr>
            </w:pPr>
          </w:p>
        </w:tc>
      </w:tr>
    </w:tbl>
    <w:p w:rsidR="00E8613E" w:rsidRPr="00204B50" w:rsidRDefault="00E8613E" w:rsidP="00E8613E">
      <w:pPr>
        <w:rPr>
          <w:rFonts w:eastAsia="Calibri"/>
        </w:rPr>
      </w:pPr>
    </w:p>
    <w:p w:rsidR="003D6E96" w:rsidRPr="00204B50" w:rsidRDefault="00FA63CD" w:rsidP="00E8613E">
      <w:pPr>
        <w:rPr>
          <w:rFonts w:eastAsia="Calibri"/>
        </w:rPr>
      </w:pPr>
      <w:r>
        <w:rPr>
          <w:rFonts w:eastAsia="Calibri"/>
        </w:rPr>
        <w:t>De</w:t>
      </w:r>
      <w:r w:rsidR="00E8613E" w:rsidRPr="00204B50">
        <w:rPr>
          <w:rFonts w:eastAsia="Calibri"/>
        </w:rPr>
        <w:t xml:space="preserve"> </w:t>
      </w:r>
      <w:r w:rsidR="00E8613E" w:rsidRPr="0008041B">
        <w:rPr>
          <w:rFonts w:eastAsia="Calibri"/>
        </w:rPr>
        <w:t>tweedejaarsvakken</w:t>
      </w:r>
      <w:r>
        <w:rPr>
          <w:rStyle w:val="Hyperlink"/>
          <w:rFonts w:eastAsia="Calibri"/>
        </w:rPr>
        <w:t xml:space="preserve"> </w:t>
      </w:r>
      <w:r>
        <w:rPr>
          <w:rFonts w:eastAsia="Calibri"/>
        </w:rPr>
        <w:t>zijn in</w:t>
      </w:r>
      <w:r w:rsidR="00E8613E" w:rsidRPr="00204B50">
        <w:rPr>
          <w:rFonts w:eastAsia="Calibri"/>
        </w:rPr>
        <w:t xml:space="preserve"> 2013-2014 </w:t>
      </w:r>
      <w:r>
        <w:rPr>
          <w:rFonts w:eastAsia="Calibri"/>
        </w:rPr>
        <w:t>voor het laatst zijn aangeboden en kunnen</w:t>
      </w:r>
      <w:r w:rsidR="00E8613E" w:rsidRPr="00204B50">
        <w:rPr>
          <w:rFonts w:eastAsia="Calibri"/>
        </w:rPr>
        <w:t xml:space="preserve"> </w:t>
      </w:r>
      <w:r w:rsidR="00204B50" w:rsidRPr="00204B50">
        <w:rPr>
          <w:rFonts w:eastAsia="Calibri"/>
        </w:rPr>
        <w:t xml:space="preserve">nog twee maal </w:t>
      </w:r>
      <w:r w:rsidR="00E8613E" w:rsidRPr="00204B50">
        <w:rPr>
          <w:rFonts w:eastAsia="Calibri"/>
        </w:rPr>
        <w:t xml:space="preserve">herkanst worden in het studiejaar 2014-2015. </w:t>
      </w:r>
    </w:p>
    <w:p w:rsidR="00E8613E" w:rsidRPr="00204B50" w:rsidRDefault="00E8613E" w:rsidP="00E8613E">
      <w:pPr>
        <w:rPr>
          <w:rFonts w:eastAsia="Calibri"/>
        </w:rPr>
      </w:pPr>
    </w:p>
    <w:p w:rsidR="00E8613E" w:rsidRPr="00204B50" w:rsidRDefault="00E8613E" w:rsidP="00E8613E">
      <w:pPr>
        <w:rPr>
          <w:rFonts w:eastAsia="Calibri"/>
        </w:rPr>
      </w:pPr>
      <w:r w:rsidRPr="00204B50">
        <w:rPr>
          <w:rFonts w:eastAsia="Calibri"/>
        </w:rPr>
        <w:t>Indien een student (ernstige) studievertraging heeft opgelopen</w:t>
      </w:r>
      <w:r w:rsidR="00204B50">
        <w:rPr>
          <w:rFonts w:eastAsia="Calibri"/>
        </w:rPr>
        <w:t>,</w:t>
      </w:r>
      <w:r w:rsidRPr="00204B50">
        <w:rPr>
          <w:rFonts w:eastAsia="Calibri"/>
        </w:rPr>
        <w:t xml:space="preserve"> dan </w:t>
      </w:r>
      <w:r w:rsidR="00FA63CD">
        <w:rPr>
          <w:rFonts w:eastAsia="Calibri"/>
        </w:rPr>
        <w:t>adviseren we je</w:t>
      </w:r>
      <w:r w:rsidRPr="00204B50">
        <w:rPr>
          <w:rFonts w:eastAsia="Calibri"/>
        </w:rPr>
        <w:t xml:space="preserve"> om </w:t>
      </w:r>
      <w:r w:rsidR="00204B50" w:rsidRPr="00204B50">
        <w:rPr>
          <w:rFonts w:eastAsia="Calibri"/>
        </w:rPr>
        <w:t>altijd (</w:t>
      </w:r>
      <w:r w:rsidRPr="00204B50">
        <w:rPr>
          <w:rFonts w:eastAsia="Calibri"/>
        </w:rPr>
        <w:t>v</w:t>
      </w:r>
      <w:r w:rsidR="00204B50" w:rsidRPr="00204B50">
        <w:rPr>
          <w:rFonts w:eastAsia="Calibri"/>
        </w:rPr>
        <w:t>óó</w:t>
      </w:r>
      <w:r w:rsidRPr="00204B50">
        <w:rPr>
          <w:rFonts w:eastAsia="Calibri"/>
        </w:rPr>
        <w:t>r aanvang van 2014-2015) contact op te nemen met de studieadviseur om te bekijken of het nodig is om (gedeeltelijk) over te stappen op het nieuwe onderwijsmodel.</w:t>
      </w:r>
    </w:p>
    <w:p w:rsidR="00B54EFA" w:rsidRPr="00204B50" w:rsidRDefault="00B54EFA" w:rsidP="00E8613E"/>
    <w:p w:rsidR="00B54EFA" w:rsidRPr="00204B50" w:rsidRDefault="00B54EFA" w:rsidP="00E8613E"/>
    <w:p w:rsidR="00C62434" w:rsidRPr="00204B50" w:rsidRDefault="007513F7" w:rsidP="00C27CAD">
      <w:pPr>
        <w:spacing w:after="200" w:line="276" w:lineRule="auto"/>
        <w:rPr>
          <w:rFonts w:eastAsia="Calibri"/>
          <w:b/>
        </w:rPr>
      </w:pPr>
      <w:r w:rsidRPr="00204B50">
        <w:rPr>
          <w:rFonts w:eastAsia="Calibri"/>
          <w:b/>
        </w:rPr>
        <w:t>Herkansingsmogelijkheden B2-vakken oude stijl.</w:t>
      </w:r>
    </w:p>
    <w:p w:rsidR="003D6E96" w:rsidRPr="00204B50" w:rsidRDefault="00E8613E" w:rsidP="00E8613E">
      <w:r w:rsidRPr="00204B50">
        <w:rPr>
          <w:rFonts w:eastAsia="Calibri"/>
        </w:rPr>
        <w:t xml:space="preserve">Voor alle vakken van bachelor jaar 2 </w:t>
      </w:r>
      <w:r w:rsidR="00204B50">
        <w:rPr>
          <w:rFonts w:eastAsia="Calibri"/>
        </w:rPr>
        <w:t>oude stijl</w:t>
      </w:r>
      <w:r w:rsidRPr="00204B50">
        <w:rPr>
          <w:rFonts w:eastAsia="Calibri"/>
        </w:rPr>
        <w:t xml:space="preserve"> worden in het studiejaar 2014-2015 twee (laatste) herkansingen aangeboden, conform </w:t>
      </w:r>
      <w:r w:rsidRPr="00204B50">
        <w:t xml:space="preserve">Artikel 8.4 lid 4a van de Richtlijn Onderwijs- en Examenregeling </w:t>
      </w:r>
      <w:proofErr w:type="spellStart"/>
      <w:r w:rsidRPr="00204B50">
        <w:t>Bacheloropleidingen</w:t>
      </w:r>
      <w:proofErr w:type="spellEnd"/>
      <w:r w:rsidR="00204B50">
        <w:t>.</w:t>
      </w:r>
      <w:r w:rsidRPr="00204B50">
        <w:t xml:space="preserve"> </w:t>
      </w:r>
    </w:p>
    <w:p w:rsidR="001F6B8A" w:rsidRDefault="001F6B8A" w:rsidP="001F6B8A">
      <w:pPr>
        <w:pStyle w:val="wh-normal"/>
        <w:rPr>
          <w:rFonts w:ascii="Arial" w:hAnsi="Arial" w:cs="Arial"/>
          <w:sz w:val="22"/>
          <w:szCs w:val="22"/>
          <w:lang w:val="nl-NL"/>
        </w:rPr>
      </w:pPr>
      <w:r w:rsidRPr="001F6B8A">
        <w:rPr>
          <w:rFonts w:ascii="Arial" w:hAnsi="Arial" w:cs="Arial"/>
          <w:sz w:val="22"/>
          <w:szCs w:val="22"/>
          <w:lang w:val="nl-NL"/>
        </w:rPr>
        <w:t xml:space="preserve">Alle benodigde informatie over het vak vind je (tijdens het blok van de herkansing) per vak op de betreffende </w:t>
      </w:r>
      <w:r w:rsidRPr="001F6B8A">
        <w:rPr>
          <w:rFonts w:ascii="Arial" w:hAnsi="Arial" w:cs="Arial"/>
          <w:b/>
          <w:bCs/>
          <w:sz w:val="22"/>
          <w:szCs w:val="22"/>
          <w:lang w:val="nl-NL"/>
        </w:rPr>
        <w:t>o</w:t>
      </w:r>
      <w:r>
        <w:rPr>
          <w:rFonts w:ascii="Arial" w:hAnsi="Arial" w:cs="Arial"/>
          <w:b/>
          <w:bCs/>
          <w:sz w:val="22"/>
          <w:szCs w:val="22"/>
          <w:lang w:val="nl-NL"/>
        </w:rPr>
        <w:t>ude Blackboard (BB) pagina (2013-2014</w:t>
      </w:r>
      <w:r w:rsidRPr="001F6B8A">
        <w:rPr>
          <w:rFonts w:ascii="Arial" w:hAnsi="Arial" w:cs="Arial"/>
          <w:b/>
          <w:bCs/>
          <w:sz w:val="22"/>
          <w:szCs w:val="22"/>
          <w:lang w:val="nl-NL"/>
        </w:rPr>
        <w:t>)</w:t>
      </w:r>
      <w:r w:rsidRPr="001F6B8A">
        <w:rPr>
          <w:rFonts w:ascii="Arial" w:hAnsi="Arial" w:cs="Arial"/>
          <w:sz w:val="22"/>
          <w:szCs w:val="22"/>
          <w:lang w:val="nl-NL"/>
        </w:rPr>
        <w:t>. Het kan voorkomen dat een docent tijdens het betreffende blok van de herkansing nog aanvullende informatie voor de herkansingen op die ‘oude’ BB pagina plaatst. Bijvoorbeeld informatie over het inleveren van een opdracht</w:t>
      </w:r>
      <w:r>
        <w:rPr>
          <w:rFonts w:ascii="Arial" w:hAnsi="Arial" w:cs="Arial"/>
          <w:sz w:val="22"/>
          <w:szCs w:val="22"/>
          <w:lang w:val="nl-NL"/>
        </w:rPr>
        <w:t>.</w:t>
      </w:r>
    </w:p>
    <w:p w:rsidR="001F6B8A" w:rsidRPr="001F6B8A" w:rsidRDefault="001F6B8A" w:rsidP="001F6B8A">
      <w:pPr>
        <w:pStyle w:val="wh-normal"/>
        <w:rPr>
          <w:rFonts w:ascii="Arial" w:hAnsi="Arial" w:cs="Arial"/>
          <w:sz w:val="22"/>
          <w:szCs w:val="22"/>
          <w:lang w:val="nl-NL"/>
        </w:rPr>
      </w:pPr>
      <w:r w:rsidRPr="001F6B8A">
        <w:rPr>
          <w:rFonts w:ascii="Arial" w:hAnsi="Arial" w:cs="Arial"/>
          <w:sz w:val="22"/>
          <w:szCs w:val="22"/>
          <w:lang w:val="nl-NL"/>
        </w:rPr>
        <w:t xml:space="preserve">De dagen/tijden van de herkansingen vind je in het </w:t>
      </w:r>
      <w:hyperlink r:id="rId6" w:history="1">
        <w:r w:rsidRPr="001F6B8A">
          <w:rPr>
            <w:rStyle w:val="Hyperlink"/>
            <w:rFonts w:ascii="Arial" w:hAnsi="Arial" w:cs="Arial"/>
            <w:sz w:val="22"/>
            <w:szCs w:val="22"/>
            <w:lang w:val="nl-NL"/>
          </w:rPr>
          <w:t>rooster</w:t>
        </w:r>
      </w:hyperlink>
      <w:r w:rsidRPr="001F6B8A">
        <w:rPr>
          <w:rFonts w:ascii="Arial" w:hAnsi="Arial" w:cs="Arial"/>
          <w:sz w:val="22"/>
          <w:szCs w:val="22"/>
          <w:lang w:val="nl-NL"/>
        </w:rPr>
        <w:t xml:space="preserve">. Je kunt de herkansingen in het rooster per vak zoeken (klik ‘rooster toevoegen’ en zoek op ‘moduleonderdeel/vak’ en vul dan de </w:t>
      </w:r>
      <w:proofErr w:type="spellStart"/>
      <w:r w:rsidRPr="001F6B8A">
        <w:rPr>
          <w:rFonts w:ascii="Arial" w:hAnsi="Arial" w:cs="Arial"/>
          <w:sz w:val="22"/>
          <w:szCs w:val="22"/>
          <w:lang w:val="nl-NL"/>
        </w:rPr>
        <w:t>vaknaam</w:t>
      </w:r>
      <w:proofErr w:type="spellEnd"/>
      <w:r w:rsidRPr="001F6B8A">
        <w:rPr>
          <w:rFonts w:ascii="Arial" w:hAnsi="Arial" w:cs="Arial"/>
          <w:sz w:val="22"/>
          <w:szCs w:val="22"/>
          <w:lang w:val="nl-NL"/>
        </w:rPr>
        <w:t>/code in), maar er is ook een overzichtsrooster beschikbaar waar alle herkansingen van jaar 2 zijn opgenomen (klik ‘rooster toevoegen’ en zoek op ‘module/studieprogramma’ en vul dan in ‘Psychologie oud onderwijs’).</w:t>
      </w:r>
    </w:p>
    <w:tbl>
      <w:tblPr>
        <w:tblpPr w:leftFromText="141" w:rightFromText="141" w:vertAnchor="text" w:horzAnchor="margin" w:tblpXSpec="center" w:tblpY="61"/>
        <w:tblW w:w="9605" w:type="dxa"/>
        <w:tblCellMar>
          <w:left w:w="70" w:type="dxa"/>
          <w:right w:w="70" w:type="dxa"/>
        </w:tblCellMar>
        <w:tblLook w:val="04A0" w:firstRow="1" w:lastRow="0" w:firstColumn="1" w:lastColumn="0" w:noHBand="0" w:noVBand="1"/>
      </w:tblPr>
      <w:tblGrid>
        <w:gridCol w:w="2365"/>
        <w:gridCol w:w="1460"/>
        <w:gridCol w:w="1460"/>
        <w:gridCol w:w="1460"/>
        <w:gridCol w:w="1460"/>
        <w:gridCol w:w="1400"/>
      </w:tblGrid>
      <w:tr w:rsidR="001F6B8A" w:rsidRPr="001F6B8A" w:rsidTr="001F6B8A">
        <w:trPr>
          <w:trHeight w:val="720"/>
        </w:trPr>
        <w:tc>
          <w:tcPr>
            <w:tcW w:w="2365" w:type="dxa"/>
            <w:tcBorders>
              <w:top w:val="single" w:sz="4" w:space="0" w:color="auto"/>
              <w:left w:val="single" w:sz="8" w:space="0" w:color="000000"/>
              <w:bottom w:val="nil"/>
              <w:right w:val="single" w:sz="8" w:space="0" w:color="000000"/>
            </w:tcBorders>
            <w:shd w:val="clear" w:color="000000" w:fill="FFFFFF"/>
            <w:hideMark/>
          </w:tcPr>
          <w:p w:rsidR="001F6B8A" w:rsidRPr="001F6B8A" w:rsidRDefault="001F6B8A" w:rsidP="003672DB">
            <w:pPr>
              <w:rPr>
                <w:b/>
                <w:bCs/>
                <w:i/>
                <w:color w:val="222222"/>
                <w:sz w:val="20"/>
                <w:szCs w:val="20"/>
                <w:lang w:eastAsia="nl-NL"/>
              </w:rPr>
            </w:pPr>
            <w:r w:rsidRPr="001F6B8A">
              <w:rPr>
                <w:b/>
                <w:bCs/>
                <w:i/>
                <w:color w:val="222222"/>
                <w:sz w:val="20"/>
                <w:szCs w:val="20"/>
                <w:lang w:eastAsia="nl-NL"/>
              </w:rPr>
              <w:lastRenderedPageBreak/>
              <w:t>Herkansing aangeboden in tentamenperiode van blok:</w:t>
            </w:r>
          </w:p>
        </w:tc>
        <w:tc>
          <w:tcPr>
            <w:tcW w:w="1460" w:type="dxa"/>
            <w:tcBorders>
              <w:top w:val="single" w:sz="4" w:space="0" w:color="auto"/>
              <w:left w:val="nil"/>
              <w:bottom w:val="nil"/>
              <w:right w:val="single" w:sz="8" w:space="0" w:color="000000"/>
            </w:tcBorders>
            <w:shd w:val="clear" w:color="000000" w:fill="FFFFFF"/>
            <w:vAlign w:val="center"/>
            <w:hideMark/>
          </w:tcPr>
          <w:p w:rsidR="001F6B8A" w:rsidRPr="001F6B8A" w:rsidRDefault="001F6B8A" w:rsidP="003672DB">
            <w:pPr>
              <w:jc w:val="center"/>
              <w:rPr>
                <w:b/>
                <w:bCs/>
                <w:i/>
                <w:color w:val="222222"/>
                <w:sz w:val="20"/>
                <w:szCs w:val="20"/>
                <w:lang w:eastAsia="nl-NL"/>
              </w:rPr>
            </w:pPr>
            <w:r w:rsidRPr="001F6B8A">
              <w:rPr>
                <w:b/>
                <w:bCs/>
                <w:i/>
                <w:color w:val="222222"/>
                <w:sz w:val="20"/>
                <w:szCs w:val="20"/>
                <w:lang w:eastAsia="nl-NL"/>
              </w:rPr>
              <w:t>Blok 1A</w:t>
            </w:r>
          </w:p>
        </w:tc>
        <w:tc>
          <w:tcPr>
            <w:tcW w:w="1460" w:type="dxa"/>
            <w:tcBorders>
              <w:top w:val="single" w:sz="4" w:space="0" w:color="auto"/>
              <w:left w:val="nil"/>
              <w:bottom w:val="nil"/>
              <w:right w:val="single" w:sz="8" w:space="0" w:color="000000"/>
            </w:tcBorders>
            <w:shd w:val="clear" w:color="000000" w:fill="FFFFFF"/>
            <w:vAlign w:val="center"/>
            <w:hideMark/>
          </w:tcPr>
          <w:p w:rsidR="001F6B8A" w:rsidRPr="001F6B8A" w:rsidRDefault="001F6B8A" w:rsidP="003672DB">
            <w:pPr>
              <w:jc w:val="center"/>
              <w:rPr>
                <w:b/>
                <w:bCs/>
                <w:i/>
                <w:color w:val="222222"/>
                <w:sz w:val="20"/>
                <w:szCs w:val="20"/>
                <w:lang w:eastAsia="nl-NL"/>
              </w:rPr>
            </w:pPr>
            <w:r w:rsidRPr="001F6B8A">
              <w:rPr>
                <w:b/>
                <w:bCs/>
                <w:i/>
                <w:color w:val="222222"/>
                <w:sz w:val="20"/>
                <w:szCs w:val="20"/>
                <w:lang w:eastAsia="nl-NL"/>
              </w:rPr>
              <w:t>Blok 1B</w:t>
            </w:r>
          </w:p>
        </w:tc>
        <w:tc>
          <w:tcPr>
            <w:tcW w:w="1460" w:type="dxa"/>
            <w:tcBorders>
              <w:top w:val="single" w:sz="4" w:space="0" w:color="auto"/>
              <w:left w:val="nil"/>
              <w:bottom w:val="nil"/>
              <w:right w:val="single" w:sz="8" w:space="0" w:color="000000"/>
            </w:tcBorders>
            <w:shd w:val="clear" w:color="000000" w:fill="FFFFFF"/>
            <w:vAlign w:val="center"/>
            <w:hideMark/>
          </w:tcPr>
          <w:p w:rsidR="001F6B8A" w:rsidRPr="001F6B8A" w:rsidRDefault="001F6B8A" w:rsidP="003672DB">
            <w:pPr>
              <w:jc w:val="center"/>
              <w:rPr>
                <w:b/>
                <w:bCs/>
                <w:i/>
                <w:color w:val="222222"/>
                <w:sz w:val="20"/>
                <w:szCs w:val="20"/>
                <w:lang w:eastAsia="nl-NL"/>
              </w:rPr>
            </w:pPr>
            <w:r w:rsidRPr="001F6B8A">
              <w:rPr>
                <w:b/>
                <w:bCs/>
                <w:i/>
                <w:color w:val="222222"/>
                <w:sz w:val="20"/>
                <w:szCs w:val="20"/>
                <w:lang w:eastAsia="nl-NL"/>
              </w:rPr>
              <w:t>Blok 2A</w:t>
            </w:r>
          </w:p>
        </w:tc>
        <w:tc>
          <w:tcPr>
            <w:tcW w:w="1460" w:type="dxa"/>
            <w:tcBorders>
              <w:top w:val="single" w:sz="4" w:space="0" w:color="auto"/>
              <w:left w:val="nil"/>
              <w:bottom w:val="nil"/>
              <w:right w:val="single" w:sz="8" w:space="0" w:color="000000"/>
            </w:tcBorders>
            <w:shd w:val="clear" w:color="000000" w:fill="FFFFFF"/>
            <w:vAlign w:val="center"/>
            <w:hideMark/>
          </w:tcPr>
          <w:p w:rsidR="001F6B8A" w:rsidRPr="001F6B8A" w:rsidRDefault="001F6B8A" w:rsidP="003672DB">
            <w:pPr>
              <w:jc w:val="center"/>
              <w:rPr>
                <w:b/>
                <w:bCs/>
                <w:i/>
                <w:color w:val="222222"/>
                <w:sz w:val="20"/>
                <w:szCs w:val="20"/>
                <w:lang w:eastAsia="nl-NL"/>
              </w:rPr>
            </w:pPr>
            <w:r w:rsidRPr="001F6B8A">
              <w:rPr>
                <w:b/>
                <w:bCs/>
                <w:i/>
                <w:color w:val="222222"/>
                <w:sz w:val="20"/>
                <w:szCs w:val="20"/>
                <w:lang w:eastAsia="nl-NL"/>
              </w:rPr>
              <w:t>Blok 2B</w:t>
            </w:r>
          </w:p>
        </w:tc>
        <w:tc>
          <w:tcPr>
            <w:tcW w:w="1400" w:type="dxa"/>
            <w:tcBorders>
              <w:top w:val="single" w:sz="4" w:space="0" w:color="auto"/>
              <w:left w:val="nil"/>
              <w:bottom w:val="nil"/>
              <w:right w:val="single" w:sz="8" w:space="0" w:color="000000"/>
            </w:tcBorders>
            <w:shd w:val="clear" w:color="000000" w:fill="FFFFFF"/>
            <w:vAlign w:val="center"/>
            <w:hideMark/>
          </w:tcPr>
          <w:p w:rsidR="001F6B8A" w:rsidRPr="001F6B8A" w:rsidRDefault="001F6B8A" w:rsidP="003672DB">
            <w:pPr>
              <w:jc w:val="center"/>
              <w:rPr>
                <w:b/>
                <w:bCs/>
                <w:i/>
                <w:color w:val="222222"/>
                <w:sz w:val="20"/>
                <w:szCs w:val="20"/>
                <w:lang w:eastAsia="nl-NL"/>
              </w:rPr>
            </w:pPr>
            <w:r w:rsidRPr="001F6B8A">
              <w:rPr>
                <w:b/>
                <w:bCs/>
                <w:i/>
                <w:color w:val="222222"/>
                <w:sz w:val="20"/>
                <w:szCs w:val="20"/>
                <w:lang w:eastAsia="nl-NL"/>
              </w:rPr>
              <w:t>Blok 3A/3B (zomer)</w:t>
            </w:r>
          </w:p>
        </w:tc>
      </w:tr>
      <w:tr w:rsidR="001F6B8A" w:rsidRPr="001F6B8A" w:rsidTr="001F6B8A">
        <w:trPr>
          <w:trHeight w:val="315"/>
        </w:trPr>
        <w:tc>
          <w:tcPr>
            <w:tcW w:w="2365" w:type="dxa"/>
            <w:tcBorders>
              <w:top w:val="nil"/>
              <w:left w:val="single" w:sz="8" w:space="0" w:color="000000"/>
              <w:bottom w:val="single" w:sz="8" w:space="0" w:color="000000"/>
              <w:right w:val="single" w:sz="8" w:space="0" w:color="000000"/>
            </w:tcBorders>
            <w:shd w:val="clear" w:color="000000" w:fill="FFFFFF"/>
            <w:noWrap/>
            <w:vAlign w:val="center"/>
            <w:hideMark/>
          </w:tcPr>
          <w:p w:rsidR="001F6B8A" w:rsidRPr="001F6B8A" w:rsidRDefault="001F6B8A" w:rsidP="003672DB">
            <w:pPr>
              <w:rPr>
                <w:bCs/>
                <w:i/>
                <w:color w:val="222222"/>
                <w:sz w:val="20"/>
                <w:szCs w:val="20"/>
                <w:lang w:eastAsia="nl-NL"/>
              </w:rPr>
            </w:pPr>
            <w:r w:rsidRPr="001F6B8A">
              <w:rPr>
                <w:bCs/>
                <w:i/>
                <w:color w:val="222222"/>
                <w:sz w:val="20"/>
                <w:szCs w:val="20"/>
                <w:lang w:eastAsia="nl-NL"/>
              </w:rPr>
              <w:t>Vakken:</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i/>
                <w:color w:val="222222"/>
                <w:sz w:val="20"/>
                <w:szCs w:val="20"/>
                <w:lang w:eastAsia="nl-NL"/>
              </w:rPr>
            </w:pPr>
            <w:r w:rsidRPr="001F6B8A">
              <w:rPr>
                <w:i/>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i/>
                <w:color w:val="222222"/>
                <w:sz w:val="20"/>
                <w:szCs w:val="20"/>
                <w:lang w:eastAsia="nl-NL"/>
              </w:rPr>
            </w:pPr>
            <w:r w:rsidRPr="001F6B8A">
              <w:rPr>
                <w:i/>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i/>
                <w:color w:val="222222"/>
                <w:sz w:val="20"/>
                <w:szCs w:val="20"/>
                <w:lang w:eastAsia="nl-NL"/>
              </w:rPr>
            </w:pPr>
            <w:r w:rsidRPr="001F6B8A">
              <w:rPr>
                <w:i/>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i/>
                <w:color w:val="222222"/>
                <w:sz w:val="20"/>
                <w:szCs w:val="20"/>
                <w:lang w:eastAsia="nl-NL"/>
              </w:rPr>
            </w:pPr>
            <w:r w:rsidRPr="001F6B8A">
              <w:rPr>
                <w:i/>
                <w:color w:val="222222"/>
                <w:sz w:val="20"/>
                <w:szCs w:val="20"/>
                <w:lang w:eastAsia="nl-NL"/>
              </w:rPr>
              <w:t> </w:t>
            </w:r>
          </w:p>
        </w:tc>
        <w:tc>
          <w:tcPr>
            <w:tcW w:w="140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i/>
                <w:color w:val="222222"/>
                <w:sz w:val="20"/>
                <w:szCs w:val="20"/>
                <w:lang w:eastAsia="nl-NL"/>
              </w:rPr>
            </w:pPr>
            <w:r w:rsidRPr="001F6B8A">
              <w:rPr>
                <w:i/>
                <w:color w:val="222222"/>
                <w:sz w:val="20"/>
                <w:szCs w:val="20"/>
                <w:lang w:eastAsia="nl-NL"/>
              </w:rPr>
              <w:t> </w:t>
            </w:r>
          </w:p>
        </w:tc>
      </w:tr>
      <w:tr w:rsidR="001F6B8A" w:rsidRPr="001F6B8A" w:rsidTr="001F6B8A">
        <w:trPr>
          <w:trHeight w:val="585"/>
        </w:trPr>
        <w:tc>
          <w:tcPr>
            <w:tcW w:w="2365" w:type="dxa"/>
            <w:tcBorders>
              <w:top w:val="nil"/>
              <w:left w:val="single" w:sz="8" w:space="0" w:color="000000"/>
              <w:bottom w:val="single" w:sz="8" w:space="0" w:color="000000"/>
              <w:right w:val="single" w:sz="8" w:space="0" w:color="000000"/>
            </w:tcBorders>
            <w:shd w:val="clear" w:color="000000" w:fill="FFFFFF"/>
            <w:noWrap/>
            <w:vAlign w:val="center"/>
            <w:hideMark/>
          </w:tcPr>
          <w:p w:rsidR="001F6B8A" w:rsidRPr="001F6B8A" w:rsidRDefault="001F6B8A" w:rsidP="003672DB">
            <w:pPr>
              <w:rPr>
                <w:color w:val="222222"/>
                <w:sz w:val="20"/>
                <w:szCs w:val="20"/>
                <w:lang w:eastAsia="nl-NL"/>
              </w:rPr>
            </w:pPr>
            <w:r w:rsidRPr="001F6B8A">
              <w:rPr>
                <w:color w:val="222222"/>
                <w:sz w:val="20"/>
                <w:szCs w:val="20"/>
                <w:lang w:eastAsia="nl-NL"/>
              </w:rPr>
              <w:t>Dataverzameling voor psychologie</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1</w:t>
            </w:r>
            <w:r w:rsidRPr="001F6B8A">
              <w:rPr>
                <w:color w:val="222222"/>
                <w:sz w:val="20"/>
                <w:szCs w:val="20"/>
                <w:vertAlign w:val="superscript"/>
                <w:lang w:eastAsia="nl-NL"/>
              </w:rPr>
              <w:t>e</w:t>
            </w:r>
            <w:r w:rsidRPr="001F6B8A">
              <w:rPr>
                <w:color w:val="222222"/>
                <w:sz w:val="20"/>
                <w:szCs w:val="20"/>
                <w:lang w:eastAsia="nl-NL"/>
              </w:rPr>
              <w:t xml:space="preserve"> herkansing</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Laatste herkansing</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0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r>
      <w:tr w:rsidR="001F6B8A" w:rsidRPr="001F6B8A" w:rsidTr="001F6B8A">
        <w:trPr>
          <w:trHeight w:val="585"/>
        </w:trPr>
        <w:tc>
          <w:tcPr>
            <w:tcW w:w="2365" w:type="dxa"/>
            <w:tcBorders>
              <w:top w:val="nil"/>
              <w:left w:val="single" w:sz="8" w:space="0" w:color="000000"/>
              <w:bottom w:val="single" w:sz="8" w:space="0" w:color="000000"/>
              <w:right w:val="single" w:sz="8" w:space="0" w:color="000000"/>
            </w:tcBorders>
            <w:shd w:val="clear" w:color="000000" w:fill="FFFFFF"/>
            <w:noWrap/>
            <w:vAlign w:val="center"/>
            <w:hideMark/>
          </w:tcPr>
          <w:p w:rsidR="001F6B8A" w:rsidRPr="001F6B8A" w:rsidRDefault="001F6B8A" w:rsidP="003672DB">
            <w:pPr>
              <w:rPr>
                <w:color w:val="222222"/>
                <w:sz w:val="20"/>
                <w:szCs w:val="20"/>
                <w:lang w:eastAsia="nl-NL"/>
              </w:rPr>
            </w:pPr>
            <w:r w:rsidRPr="001F6B8A">
              <w:rPr>
                <w:color w:val="222222"/>
                <w:sz w:val="20"/>
                <w:szCs w:val="20"/>
                <w:lang w:eastAsia="nl-NL"/>
              </w:rPr>
              <w:t>Inleiding risico- en conflictpsychologie</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1</w:t>
            </w:r>
            <w:r w:rsidRPr="001F6B8A">
              <w:rPr>
                <w:color w:val="222222"/>
                <w:sz w:val="20"/>
                <w:szCs w:val="20"/>
                <w:vertAlign w:val="superscript"/>
                <w:lang w:eastAsia="nl-NL"/>
              </w:rPr>
              <w:t>e</w:t>
            </w:r>
            <w:r w:rsidRPr="001F6B8A">
              <w:rPr>
                <w:color w:val="222222"/>
                <w:sz w:val="20"/>
                <w:szCs w:val="20"/>
                <w:lang w:eastAsia="nl-NL"/>
              </w:rPr>
              <w:t xml:space="preserve"> herkansing</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Laatste herkansing</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0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r>
      <w:tr w:rsidR="001F6B8A" w:rsidRPr="001F6B8A" w:rsidTr="001F6B8A">
        <w:trPr>
          <w:trHeight w:val="585"/>
        </w:trPr>
        <w:tc>
          <w:tcPr>
            <w:tcW w:w="2365" w:type="dxa"/>
            <w:tcBorders>
              <w:top w:val="nil"/>
              <w:left w:val="single" w:sz="8" w:space="0" w:color="000000"/>
              <w:bottom w:val="single" w:sz="8" w:space="0" w:color="000000"/>
              <w:right w:val="single" w:sz="8" w:space="0" w:color="000000"/>
            </w:tcBorders>
            <w:shd w:val="clear" w:color="000000" w:fill="FFFFFF"/>
            <w:noWrap/>
            <w:vAlign w:val="center"/>
            <w:hideMark/>
          </w:tcPr>
          <w:p w:rsidR="001F6B8A" w:rsidRPr="001F6B8A" w:rsidRDefault="001F6B8A" w:rsidP="004A2929">
            <w:pPr>
              <w:rPr>
                <w:color w:val="222222"/>
                <w:sz w:val="20"/>
                <w:szCs w:val="20"/>
                <w:lang w:eastAsia="nl-NL"/>
              </w:rPr>
            </w:pPr>
            <w:r w:rsidRPr="001F6B8A">
              <w:rPr>
                <w:color w:val="222222"/>
                <w:sz w:val="20"/>
                <w:szCs w:val="20"/>
                <w:lang w:eastAsia="nl-NL"/>
              </w:rPr>
              <w:t xml:space="preserve">Human factors en </w:t>
            </w:r>
            <w:r w:rsidR="004A2929">
              <w:rPr>
                <w:color w:val="222222"/>
                <w:sz w:val="20"/>
                <w:szCs w:val="20"/>
                <w:lang w:eastAsia="nl-NL"/>
              </w:rPr>
              <w:t>engineering psychology</w:t>
            </w:r>
            <w:bookmarkStart w:id="0" w:name="_GoBack"/>
            <w:bookmarkEnd w:id="0"/>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1</w:t>
            </w:r>
            <w:r w:rsidRPr="001F6B8A">
              <w:rPr>
                <w:color w:val="222222"/>
                <w:sz w:val="20"/>
                <w:szCs w:val="20"/>
                <w:vertAlign w:val="superscript"/>
                <w:lang w:eastAsia="nl-NL"/>
              </w:rPr>
              <w:t>e</w:t>
            </w:r>
            <w:r w:rsidRPr="001F6B8A">
              <w:rPr>
                <w:color w:val="222222"/>
                <w:sz w:val="20"/>
                <w:szCs w:val="20"/>
                <w:lang w:eastAsia="nl-NL"/>
              </w:rPr>
              <w:t xml:space="preserve"> herkansing</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Laatste herkansing</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0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r>
      <w:tr w:rsidR="001F6B8A" w:rsidRPr="001F6B8A" w:rsidTr="001F6B8A">
        <w:trPr>
          <w:trHeight w:val="555"/>
        </w:trPr>
        <w:tc>
          <w:tcPr>
            <w:tcW w:w="2365" w:type="dxa"/>
            <w:tcBorders>
              <w:top w:val="nil"/>
              <w:left w:val="single" w:sz="8" w:space="0" w:color="000000"/>
              <w:bottom w:val="single" w:sz="8" w:space="0" w:color="000000"/>
              <w:right w:val="single" w:sz="8" w:space="0" w:color="000000"/>
            </w:tcBorders>
            <w:shd w:val="clear" w:color="000000" w:fill="FFFFFF"/>
            <w:noWrap/>
            <w:vAlign w:val="center"/>
            <w:hideMark/>
          </w:tcPr>
          <w:p w:rsidR="001F6B8A" w:rsidRPr="001F6B8A" w:rsidRDefault="001F6B8A" w:rsidP="003672DB">
            <w:pPr>
              <w:rPr>
                <w:color w:val="222222"/>
                <w:sz w:val="20"/>
                <w:szCs w:val="20"/>
                <w:lang w:eastAsia="nl-NL"/>
              </w:rPr>
            </w:pPr>
            <w:r w:rsidRPr="001F6B8A">
              <w:rPr>
                <w:color w:val="222222"/>
                <w:sz w:val="20"/>
                <w:szCs w:val="20"/>
                <w:lang w:eastAsia="nl-NL"/>
              </w:rPr>
              <w:t>Onderzoeksopdracht</w:t>
            </w:r>
            <w:r w:rsidRPr="001F6B8A">
              <w:rPr>
                <w:b/>
                <w:bCs/>
                <w:color w:val="222222"/>
                <w:sz w:val="20"/>
                <w:szCs w:val="20"/>
                <w:lang w:eastAsia="nl-NL"/>
              </w:rPr>
              <w:t>**</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b/>
                <w:bCs/>
                <w:color w:val="222222"/>
                <w:sz w:val="20"/>
                <w:szCs w:val="20"/>
                <w:lang w:eastAsia="nl-NL"/>
              </w:rPr>
            </w:pPr>
            <w:r w:rsidRPr="001F6B8A">
              <w:rPr>
                <w:b/>
                <w:bCs/>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b/>
                <w:bCs/>
                <w:color w:val="222222"/>
                <w:sz w:val="20"/>
                <w:szCs w:val="20"/>
                <w:lang w:eastAsia="nl-NL"/>
              </w:rPr>
            </w:pPr>
            <w:r w:rsidRPr="001F6B8A">
              <w:rPr>
                <w:b/>
                <w:bCs/>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bCs/>
                <w:color w:val="222222"/>
                <w:sz w:val="20"/>
                <w:szCs w:val="20"/>
                <w:lang w:eastAsia="nl-NL"/>
              </w:rPr>
            </w:pPr>
            <w:r w:rsidRPr="001F6B8A">
              <w:rPr>
                <w:bCs/>
                <w:color w:val="222222"/>
                <w:sz w:val="20"/>
                <w:szCs w:val="20"/>
                <w:lang w:eastAsia="nl-NL"/>
              </w:rPr>
              <w:t>1</w:t>
            </w:r>
            <w:r w:rsidRPr="001F6B8A">
              <w:rPr>
                <w:bCs/>
                <w:color w:val="222222"/>
                <w:sz w:val="20"/>
                <w:szCs w:val="20"/>
                <w:vertAlign w:val="superscript"/>
                <w:lang w:eastAsia="nl-NL"/>
              </w:rPr>
              <w:t>e</w:t>
            </w:r>
            <w:r w:rsidRPr="001F6B8A">
              <w:rPr>
                <w:bCs/>
                <w:color w:val="222222"/>
                <w:sz w:val="20"/>
                <w:szCs w:val="20"/>
                <w:lang w:eastAsia="nl-NL"/>
              </w:rPr>
              <w:t xml:space="preserve"> herkansing </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Laatste herkansing </w:t>
            </w:r>
          </w:p>
        </w:tc>
        <w:tc>
          <w:tcPr>
            <w:tcW w:w="140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r>
      <w:tr w:rsidR="001F6B8A" w:rsidRPr="001F6B8A" w:rsidTr="001F6B8A">
        <w:trPr>
          <w:trHeight w:val="585"/>
        </w:trPr>
        <w:tc>
          <w:tcPr>
            <w:tcW w:w="2365" w:type="dxa"/>
            <w:tcBorders>
              <w:top w:val="nil"/>
              <w:left w:val="single" w:sz="8" w:space="0" w:color="000000"/>
              <w:bottom w:val="single" w:sz="8" w:space="0" w:color="000000"/>
              <w:right w:val="single" w:sz="8" w:space="0" w:color="000000"/>
            </w:tcBorders>
            <w:shd w:val="clear" w:color="000000" w:fill="FFFFFF"/>
            <w:noWrap/>
            <w:vAlign w:val="center"/>
            <w:hideMark/>
          </w:tcPr>
          <w:p w:rsidR="001F6B8A" w:rsidRPr="001F6B8A" w:rsidRDefault="001F6B8A" w:rsidP="003672DB">
            <w:pPr>
              <w:rPr>
                <w:color w:val="222222"/>
                <w:sz w:val="20"/>
                <w:szCs w:val="20"/>
                <w:lang w:eastAsia="nl-NL"/>
              </w:rPr>
            </w:pPr>
            <w:r w:rsidRPr="001F6B8A">
              <w:rPr>
                <w:color w:val="222222"/>
                <w:sz w:val="20"/>
                <w:szCs w:val="20"/>
                <w:lang w:eastAsia="nl-NL"/>
              </w:rPr>
              <w:t>Statistiek 3</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1</w:t>
            </w:r>
            <w:r w:rsidRPr="001F6B8A">
              <w:rPr>
                <w:color w:val="222222"/>
                <w:sz w:val="20"/>
                <w:szCs w:val="20"/>
                <w:vertAlign w:val="superscript"/>
                <w:lang w:eastAsia="nl-NL"/>
              </w:rPr>
              <w:t>e</w:t>
            </w:r>
            <w:r w:rsidRPr="001F6B8A">
              <w:rPr>
                <w:color w:val="222222"/>
                <w:sz w:val="20"/>
                <w:szCs w:val="20"/>
                <w:lang w:eastAsia="nl-NL"/>
              </w:rPr>
              <w:t xml:space="preserve"> herkansing</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Laatste herkansing</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0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r>
      <w:tr w:rsidR="001F6B8A" w:rsidRPr="001F6B8A" w:rsidTr="001F6B8A">
        <w:trPr>
          <w:trHeight w:val="585"/>
        </w:trPr>
        <w:tc>
          <w:tcPr>
            <w:tcW w:w="2365" w:type="dxa"/>
            <w:tcBorders>
              <w:top w:val="nil"/>
              <w:left w:val="single" w:sz="8" w:space="0" w:color="000000"/>
              <w:bottom w:val="single" w:sz="8" w:space="0" w:color="000000"/>
              <w:right w:val="single" w:sz="8" w:space="0" w:color="000000"/>
            </w:tcBorders>
            <w:shd w:val="clear" w:color="000000" w:fill="FFFFFF"/>
            <w:noWrap/>
            <w:vAlign w:val="center"/>
            <w:hideMark/>
          </w:tcPr>
          <w:p w:rsidR="001F6B8A" w:rsidRPr="001F6B8A" w:rsidRDefault="001F6B8A" w:rsidP="003672DB">
            <w:pPr>
              <w:rPr>
                <w:color w:val="222222"/>
                <w:sz w:val="20"/>
                <w:szCs w:val="20"/>
                <w:lang w:eastAsia="nl-NL"/>
              </w:rPr>
            </w:pPr>
            <w:r w:rsidRPr="001F6B8A">
              <w:rPr>
                <w:color w:val="222222"/>
                <w:sz w:val="20"/>
                <w:szCs w:val="20"/>
                <w:lang w:eastAsia="nl-NL"/>
              </w:rPr>
              <w:t>Onderwijspsychologie</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1</w:t>
            </w:r>
            <w:r w:rsidRPr="001F6B8A">
              <w:rPr>
                <w:color w:val="222222"/>
                <w:sz w:val="20"/>
                <w:szCs w:val="20"/>
                <w:vertAlign w:val="superscript"/>
                <w:lang w:eastAsia="nl-NL"/>
              </w:rPr>
              <w:t>e</w:t>
            </w:r>
            <w:r w:rsidRPr="001F6B8A">
              <w:rPr>
                <w:color w:val="222222"/>
                <w:sz w:val="20"/>
                <w:szCs w:val="20"/>
                <w:lang w:eastAsia="nl-NL"/>
              </w:rPr>
              <w:t xml:space="preserve"> herkansing</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Laatste herkansing</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0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r>
      <w:tr w:rsidR="001F6B8A" w:rsidRPr="001F6B8A" w:rsidTr="001F6B8A">
        <w:trPr>
          <w:trHeight w:val="585"/>
        </w:trPr>
        <w:tc>
          <w:tcPr>
            <w:tcW w:w="2365" w:type="dxa"/>
            <w:tcBorders>
              <w:top w:val="nil"/>
              <w:left w:val="single" w:sz="8" w:space="0" w:color="000000"/>
              <w:bottom w:val="single" w:sz="8" w:space="0" w:color="000000"/>
              <w:right w:val="single" w:sz="8" w:space="0" w:color="000000"/>
            </w:tcBorders>
            <w:shd w:val="clear" w:color="000000" w:fill="FFFFFF"/>
            <w:noWrap/>
            <w:vAlign w:val="center"/>
            <w:hideMark/>
          </w:tcPr>
          <w:p w:rsidR="001F6B8A" w:rsidRPr="001F6B8A" w:rsidRDefault="001F6B8A" w:rsidP="003672DB">
            <w:pPr>
              <w:rPr>
                <w:color w:val="222222"/>
                <w:sz w:val="20"/>
                <w:szCs w:val="20"/>
                <w:lang w:eastAsia="nl-NL"/>
              </w:rPr>
            </w:pPr>
            <w:r w:rsidRPr="001F6B8A">
              <w:rPr>
                <w:color w:val="222222"/>
                <w:sz w:val="20"/>
                <w:szCs w:val="20"/>
                <w:lang w:eastAsia="nl-NL"/>
              </w:rPr>
              <w:t>Inleiding klinische psychologie</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1</w:t>
            </w:r>
            <w:r w:rsidRPr="001F6B8A">
              <w:rPr>
                <w:color w:val="222222"/>
                <w:sz w:val="20"/>
                <w:szCs w:val="20"/>
                <w:vertAlign w:val="superscript"/>
                <w:lang w:eastAsia="nl-NL"/>
              </w:rPr>
              <w:t>e</w:t>
            </w:r>
            <w:r w:rsidRPr="001F6B8A">
              <w:rPr>
                <w:color w:val="222222"/>
                <w:sz w:val="20"/>
                <w:szCs w:val="20"/>
                <w:lang w:eastAsia="nl-NL"/>
              </w:rPr>
              <w:t xml:space="preserve"> herkansing</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Laatste herkansing</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 </w:t>
            </w:r>
          </w:p>
        </w:tc>
        <w:tc>
          <w:tcPr>
            <w:tcW w:w="140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r>
      <w:tr w:rsidR="001F6B8A" w:rsidRPr="001F6B8A" w:rsidTr="001F6B8A">
        <w:trPr>
          <w:trHeight w:val="585"/>
        </w:trPr>
        <w:tc>
          <w:tcPr>
            <w:tcW w:w="2365" w:type="dxa"/>
            <w:tcBorders>
              <w:top w:val="nil"/>
              <w:left w:val="single" w:sz="8" w:space="0" w:color="000000"/>
              <w:bottom w:val="single" w:sz="8" w:space="0" w:color="000000"/>
              <w:right w:val="single" w:sz="8" w:space="0" w:color="000000"/>
            </w:tcBorders>
            <w:shd w:val="clear" w:color="000000" w:fill="FFFFFF"/>
            <w:vAlign w:val="center"/>
            <w:hideMark/>
          </w:tcPr>
          <w:p w:rsidR="001F6B8A" w:rsidRPr="001F6B8A" w:rsidRDefault="001F6B8A" w:rsidP="003672DB">
            <w:pPr>
              <w:rPr>
                <w:color w:val="222222"/>
                <w:sz w:val="20"/>
                <w:szCs w:val="20"/>
                <w:lang w:eastAsia="nl-NL"/>
              </w:rPr>
            </w:pPr>
            <w:r w:rsidRPr="001F6B8A">
              <w:rPr>
                <w:color w:val="222222"/>
                <w:sz w:val="20"/>
                <w:szCs w:val="20"/>
                <w:lang w:eastAsia="nl-NL"/>
              </w:rPr>
              <w:t>Kwalitatief onderzoek voor psychologie</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1</w:t>
            </w:r>
            <w:r w:rsidRPr="001F6B8A">
              <w:rPr>
                <w:color w:val="222222"/>
                <w:sz w:val="20"/>
                <w:szCs w:val="20"/>
                <w:vertAlign w:val="superscript"/>
                <w:lang w:eastAsia="nl-NL"/>
              </w:rPr>
              <w:t>e</w:t>
            </w:r>
            <w:r w:rsidRPr="001F6B8A">
              <w:rPr>
                <w:color w:val="222222"/>
                <w:sz w:val="20"/>
                <w:szCs w:val="20"/>
                <w:lang w:eastAsia="nl-NL"/>
              </w:rPr>
              <w:t xml:space="preserve"> herkansing</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Laatste herkansing</w:t>
            </w:r>
          </w:p>
        </w:tc>
        <w:tc>
          <w:tcPr>
            <w:tcW w:w="140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r>
      <w:tr w:rsidR="001F6B8A" w:rsidRPr="001F6B8A" w:rsidTr="001F6B8A">
        <w:trPr>
          <w:trHeight w:val="585"/>
        </w:trPr>
        <w:tc>
          <w:tcPr>
            <w:tcW w:w="2365" w:type="dxa"/>
            <w:tcBorders>
              <w:top w:val="nil"/>
              <w:left w:val="single" w:sz="8" w:space="0" w:color="000000"/>
              <w:bottom w:val="single" w:sz="8" w:space="0" w:color="000000"/>
              <w:right w:val="single" w:sz="8" w:space="0" w:color="000000"/>
            </w:tcBorders>
            <w:shd w:val="clear" w:color="000000" w:fill="FFFFFF"/>
            <w:noWrap/>
            <w:vAlign w:val="center"/>
            <w:hideMark/>
          </w:tcPr>
          <w:p w:rsidR="001F6B8A" w:rsidRPr="001F6B8A" w:rsidRDefault="001F6B8A" w:rsidP="003672DB">
            <w:pPr>
              <w:rPr>
                <w:color w:val="222222"/>
                <w:sz w:val="20"/>
                <w:szCs w:val="20"/>
                <w:lang w:eastAsia="nl-NL"/>
              </w:rPr>
            </w:pPr>
            <w:r w:rsidRPr="001F6B8A">
              <w:rPr>
                <w:color w:val="222222"/>
                <w:sz w:val="20"/>
                <w:szCs w:val="20"/>
                <w:lang w:eastAsia="nl-NL"/>
              </w:rPr>
              <w:t>Inleiding gezondheidspsychologie</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1</w:t>
            </w:r>
            <w:r w:rsidRPr="001F6B8A">
              <w:rPr>
                <w:color w:val="222222"/>
                <w:sz w:val="20"/>
                <w:szCs w:val="20"/>
                <w:vertAlign w:val="superscript"/>
                <w:lang w:eastAsia="nl-NL"/>
              </w:rPr>
              <w:t>e</w:t>
            </w:r>
            <w:r w:rsidRPr="001F6B8A">
              <w:rPr>
                <w:color w:val="222222"/>
                <w:sz w:val="20"/>
                <w:szCs w:val="20"/>
                <w:lang w:eastAsia="nl-NL"/>
              </w:rPr>
              <w:t xml:space="preserve"> herkansing</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Laatste herkansing</w:t>
            </w:r>
          </w:p>
        </w:tc>
        <w:tc>
          <w:tcPr>
            <w:tcW w:w="140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r>
      <w:tr w:rsidR="001F6B8A" w:rsidRPr="001F6B8A" w:rsidTr="001F6B8A">
        <w:trPr>
          <w:trHeight w:val="585"/>
        </w:trPr>
        <w:tc>
          <w:tcPr>
            <w:tcW w:w="2365" w:type="dxa"/>
            <w:tcBorders>
              <w:top w:val="nil"/>
              <w:left w:val="single" w:sz="8" w:space="0" w:color="000000"/>
              <w:bottom w:val="single" w:sz="8" w:space="0" w:color="000000"/>
              <w:right w:val="single" w:sz="8" w:space="0" w:color="000000"/>
            </w:tcBorders>
            <w:shd w:val="clear" w:color="000000" w:fill="FFFFFF"/>
            <w:noWrap/>
            <w:vAlign w:val="center"/>
            <w:hideMark/>
          </w:tcPr>
          <w:p w:rsidR="001F6B8A" w:rsidRPr="001F6B8A" w:rsidRDefault="001F6B8A" w:rsidP="003672DB">
            <w:pPr>
              <w:rPr>
                <w:color w:val="222222"/>
                <w:sz w:val="20"/>
                <w:szCs w:val="20"/>
                <w:lang w:eastAsia="nl-NL"/>
              </w:rPr>
            </w:pPr>
            <w:r w:rsidRPr="001F6B8A">
              <w:rPr>
                <w:color w:val="222222"/>
                <w:sz w:val="20"/>
                <w:szCs w:val="20"/>
                <w:lang w:eastAsia="nl-NL"/>
              </w:rPr>
              <w:t>Psychologische gespreksvoering</w:t>
            </w:r>
            <w:r w:rsidRPr="001F6B8A">
              <w:rPr>
                <w:b/>
                <w:bCs/>
                <w:color w:val="222222"/>
                <w:sz w:val="20"/>
                <w:szCs w:val="20"/>
                <w:lang w:eastAsia="nl-NL"/>
              </w:rPr>
              <w:t>**</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1</w:t>
            </w:r>
            <w:r w:rsidRPr="001F6B8A">
              <w:rPr>
                <w:color w:val="222222"/>
                <w:sz w:val="20"/>
                <w:szCs w:val="20"/>
                <w:vertAlign w:val="superscript"/>
                <w:lang w:eastAsia="nl-NL"/>
              </w:rPr>
              <w:t>e</w:t>
            </w:r>
            <w:r w:rsidRPr="001F6B8A">
              <w:rPr>
                <w:color w:val="222222"/>
                <w:sz w:val="20"/>
                <w:szCs w:val="20"/>
                <w:lang w:eastAsia="nl-NL"/>
              </w:rPr>
              <w:t xml:space="preserve"> herkansing</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Laatste herkansing</w:t>
            </w:r>
          </w:p>
        </w:tc>
        <w:tc>
          <w:tcPr>
            <w:tcW w:w="140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 </w:t>
            </w:r>
          </w:p>
        </w:tc>
      </w:tr>
      <w:tr w:rsidR="001F6B8A" w:rsidRPr="001F6B8A" w:rsidTr="001F6B8A">
        <w:trPr>
          <w:trHeight w:val="585"/>
        </w:trPr>
        <w:tc>
          <w:tcPr>
            <w:tcW w:w="2365" w:type="dxa"/>
            <w:tcBorders>
              <w:top w:val="nil"/>
              <w:left w:val="single" w:sz="8" w:space="0" w:color="000000"/>
              <w:bottom w:val="single" w:sz="8" w:space="0" w:color="000000"/>
              <w:right w:val="single" w:sz="8" w:space="0" w:color="000000"/>
            </w:tcBorders>
            <w:shd w:val="clear" w:color="000000" w:fill="FFFFFF"/>
            <w:vAlign w:val="center"/>
            <w:hideMark/>
          </w:tcPr>
          <w:p w:rsidR="001F6B8A" w:rsidRPr="001F6B8A" w:rsidRDefault="001F6B8A" w:rsidP="003672DB">
            <w:pPr>
              <w:rPr>
                <w:color w:val="222222"/>
                <w:sz w:val="20"/>
                <w:szCs w:val="20"/>
                <w:lang w:eastAsia="nl-NL"/>
              </w:rPr>
            </w:pPr>
            <w:r w:rsidRPr="001F6B8A">
              <w:rPr>
                <w:color w:val="222222"/>
                <w:sz w:val="20"/>
                <w:szCs w:val="20"/>
                <w:lang w:eastAsia="nl-NL"/>
              </w:rPr>
              <w:t>Onderzoeksopzet en data-analyse in psychologisch onderzoek</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1</w:t>
            </w:r>
            <w:r w:rsidRPr="001F6B8A">
              <w:rPr>
                <w:color w:val="222222"/>
                <w:sz w:val="20"/>
                <w:szCs w:val="20"/>
                <w:vertAlign w:val="superscript"/>
                <w:lang w:eastAsia="nl-NL"/>
              </w:rPr>
              <w:t>e</w:t>
            </w:r>
            <w:r w:rsidRPr="001F6B8A">
              <w:rPr>
                <w:color w:val="222222"/>
                <w:sz w:val="20"/>
                <w:szCs w:val="20"/>
                <w:lang w:eastAsia="nl-NL"/>
              </w:rPr>
              <w:t xml:space="preserve"> herkansing</w:t>
            </w:r>
          </w:p>
        </w:tc>
        <w:tc>
          <w:tcPr>
            <w:tcW w:w="140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Laatste herkansing</w:t>
            </w:r>
          </w:p>
        </w:tc>
      </w:tr>
      <w:tr w:rsidR="001F6B8A" w:rsidRPr="001F6B8A" w:rsidTr="001F6B8A">
        <w:trPr>
          <w:trHeight w:val="585"/>
        </w:trPr>
        <w:tc>
          <w:tcPr>
            <w:tcW w:w="2365" w:type="dxa"/>
            <w:tcBorders>
              <w:top w:val="nil"/>
              <w:left w:val="single" w:sz="8" w:space="0" w:color="000000"/>
              <w:bottom w:val="single" w:sz="8" w:space="0" w:color="000000"/>
              <w:right w:val="single" w:sz="8" w:space="0" w:color="000000"/>
            </w:tcBorders>
            <w:shd w:val="clear" w:color="000000" w:fill="FFFFFF"/>
            <w:noWrap/>
            <w:vAlign w:val="center"/>
            <w:hideMark/>
          </w:tcPr>
          <w:p w:rsidR="001F6B8A" w:rsidRPr="001F6B8A" w:rsidRDefault="001F6B8A" w:rsidP="003672DB">
            <w:pPr>
              <w:rPr>
                <w:color w:val="222222"/>
                <w:sz w:val="20"/>
                <w:szCs w:val="20"/>
                <w:lang w:eastAsia="nl-NL"/>
              </w:rPr>
            </w:pPr>
            <w:proofErr w:type="spellStart"/>
            <w:r w:rsidRPr="001F6B8A">
              <w:rPr>
                <w:color w:val="222222"/>
                <w:sz w:val="20"/>
                <w:szCs w:val="20"/>
                <w:lang w:eastAsia="nl-NL"/>
              </w:rPr>
              <w:t>Verdiepingsvak</w:t>
            </w:r>
            <w:proofErr w:type="spellEnd"/>
            <w:r w:rsidRPr="001F6B8A">
              <w:rPr>
                <w:color w:val="222222"/>
                <w:sz w:val="20"/>
                <w:szCs w:val="20"/>
                <w:lang w:eastAsia="nl-NL"/>
              </w:rPr>
              <w:t xml:space="preserve"> 1, 2, 3, 4, 5*</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1</w:t>
            </w:r>
            <w:r w:rsidRPr="001F6B8A">
              <w:rPr>
                <w:color w:val="222222"/>
                <w:sz w:val="20"/>
                <w:szCs w:val="20"/>
                <w:vertAlign w:val="superscript"/>
                <w:lang w:eastAsia="nl-NL"/>
              </w:rPr>
              <w:t>e</w:t>
            </w:r>
            <w:r w:rsidRPr="001F6B8A">
              <w:rPr>
                <w:color w:val="222222"/>
                <w:sz w:val="20"/>
                <w:szCs w:val="20"/>
                <w:lang w:eastAsia="nl-NL"/>
              </w:rPr>
              <w:t xml:space="preserve"> herkansing</w:t>
            </w:r>
          </w:p>
        </w:tc>
        <w:tc>
          <w:tcPr>
            <w:tcW w:w="140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Laatste herkansing</w:t>
            </w:r>
          </w:p>
        </w:tc>
      </w:tr>
      <w:tr w:rsidR="001F6B8A" w:rsidRPr="001F6B8A" w:rsidTr="001F6B8A">
        <w:trPr>
          <w:trHeight w:val="585"/>
        </w:trPr>
        <w:tc>
          <w:tcPr>
            <w:tcW w:w="2365" w:type="dxa"/>
            <w:tcBorders>
              <w:top w:val="nil"/>
              <w:left w:val="single" w:sz="8" w:space="0" w:color="000000"/>
              <w:bottom w:val="single" w:sz="8" w:space="0" w:color="000000"/>
              <w:right w:val="single" w:sz="8" w:space="0" w:color="000000"/>
            </w:tcBorders>
            <w:shd w:val="clear" w:color="000000" w:fill="FFFFFF"/>
            <w:noWrap/>
            <w:vAlign w:val="center"/>
            <w:hideMark/>
          </w:tcPr>
          <w:p w:rsidR="001F6B8A" w:rsidRPr="001F6B8A" w:rsidRDefault="001F6B8A" w:rsidP="003672DB">
            <w:pPr>
              <w:rPr>
                <w:color w:val="222222"/>
                <w:sz w:val="20"/>
                <w:szCs w:val="20"/>
                <w:lang w:eastAsia="nl-NL"/>
              </w:rPr>
            </w:pPr>
            <w:proofErr w:type="spellStart"/>
            <w:r w:rsidRPr="001F6B8A">
              <w:rPr>
                <w:color w:val="222222"/>
                <w:sz w:val="20"/>
                <w:szCs w:val="20"/>
                <w:lang w:eastAsia="nl-NL"/>
              </w:rPr>
              <w:t>Verdiepingsvak</w:t>
            </w:r>
            <w:proofErr w:type="spellEnd"/>
            <w:r w:rsidRPr="001F6B8A">
              <w:rPr>
                <w:color w:val="222222"/>
                <w:sz w:val="20"/>
                <w:szCs w:val="20"/>
                <w:lang w:eastAsia="nl-NL"/>
              </w:rPr>
              <w:t xml:space="preserve"> 1, 2, 3, 4, 5</w:t>
            </w:r>
            <w:r w:rsidRPr="001F6B8A">
              <w:rPr>
                <w:b/>
                <w:bCs/>
                <w:color w:val="222222"/>
                <w:sz w:val="20"/>
                <w:szCs w:val="20"/>
                <w:lang w:eastAsia="nl-NL"/>
              </w:rPr>
              <w:t>*</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1</w:t>
            </w:r>
            <w:r w:rsidRPr="001F6B8A">
              <w:rPr>
                <w:color w:val="222222"/>
                <w:sz w:val="20"/>
                <w:szCs w:val="20"/>
                <w:vertAlign w:val="superscript"/>
                <w:lang w:eastAsia="nl-NL"/>
              </w:rPr>
              <w:t>e</w:t>
            </w:r>
            <w:r w:rsidRPr="001F6B8A">
              <w:rPr>
                <w:color w:val="222222"/>
                <w:sz w:val="20"/>
                <w:szCs w:val="20"/>
                <w:lang w:eastAsia="nl-NL"/>
              </w:rPr>
              <w:t xml:space="preserve"> herkansing</w:t>
            </w:r>
          </w:p>
        </w:tc>
        <w:tc>
          <w:tcPr>
            <w:tcW w:w="1400" w:type="dxa"/>
            <w:tcBorders>
              <w:top w:val="nil"/>
              <w:left w:val="nil"/>
              <w:bottom w:val="single" w:sz="8" w:space="0" w:color="000000"/>
              <w:right w:val="single" w:sz="8" w:space="0" w:color="000000"/>
            </w:tcBorders>
            <w:shd w:val="clear" w:color="000000" w:fill="FFFFFF"/>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Laatste herkansing</w:t>
            </w:r>
          </w:p>
        </w:tc>
      </w:tr>
      <w:tr w:rsidR="001F6B8A" w:rsidRPr="001F6B8A" w:rsidTr="001F6B8A">
        <w:trPr>
          <w:trHeight w:val="285"/>
        </w:trPr>
        <w:tc>
          <w:tcPr>
            <w:tcW w:w="2365" w:type="dxa"/>
            <w:tcBorders>
              <w:top w:val="nil"/>
              <w:left w:val="nil"/>
              <w:bottom w:val="nil"/>
              <w:right w:val="nil"/>
            </w:tcBorders>
            <w:shd w:val="clear" w:color="000000" w:fill="FFFFFF"/>
            <w:noWrap/>
            <w:vAlign w:val="center"/>
            <w:hideMark/>
          </w:tcPr>
          <w:p w:rsidR="001F6B8A" w:rsidRPr="001F6B8A" w:rsidRDefault="001F6B8A" w:rsidP="003672DB">
            <w:pPr>
              <w:rPr>
                <w:color w:val="222222"/>
                <w:sz w:val="20"/>
                <w:szCs w:val="20"/>
                <w:lang w:eastAsia="nl-NL"/>
              </w:rPr>
            </w:pPr>
          </w:p>
        </w:tc>
        <w:tc>
          <w:tcPr>
            <w:tcW w:w="1460" w:type="dxa"/>
            <w:tcBorders>
              <w:top w:val="nil"/>
              <w:left w:val="nil"/>
              <w:bottom w:val="nil"/>
              <w:right w:val="nil"/>
            </w:tcBorders>
            <w:shd w:val="clear" w:color="000000" w:fill="FFFFFF"/>
            <w:noWrap/>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nil"/>
              <w:right w:val="nil"/>
            </w:tcBorders>
            <w:shd w:val="clear" w:color="000000" w:fill="FFFFFF"/>
            <w:noWrap/>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nil"/>
              <w:right w:val="nil"/>
            </w:tcBorders>
            <w:shd w:val="clear" w:color="000000" w:fill="FFFFFF"/>
            <w:noWrap/>
            <w:hideMark/>
          </w:tcPr>
          <w:p w:rsidR="001F6B8A" w:rsidRPr="001F6B8A" w:rsidRDefault="001F6B8A" w:rsidP="003672DB">
            <w:pPr>
              <w:rPr>
                <w:color w:val="222222"/>
                <w:sz w:val="20"/>
                <w:szCs w:val="20"/>
                <w:lang w:eastAsia="nl-NL"/>
              </w:rPr>
            </w:pPr>
            <w:r w:rsidRPr="001F6B8A">
              <w:rPr>
                <w:color w:val="222222"/>
                <w:sz w:val="20"/>
                <w:szCs w:val="20"/>
                <w:lang w:eastAsia="nl-NL"/>
              </w:rPr>
              <w:t> </w:t>
            </w:r>
          </w:p>
        </w:tc>
        <w:tc>
          <w:tcPr>
            <w:tcW w:w="1460" w:type="dxa"/>
            <w:tcBorders>
              <w:top w:val="nil"/>
              <w:left w:val="nil"/>
              <w:bottom w:val="nil"/>
              <w:right w:val="nil"/>
            </w:tcBorders>
            <w:shd w:val="clear" w:color="000000" w:fill="FFFFFF"/>
            <w:noWrap/>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 </w:t>
            </w:r>
          </w:p>
        </w:tc>
        <w:tc>
          <w:tcPr>
            <w:tcW w:w="1400" w:type="dxa"/>
            <w:tcBorders>
              <w:top w:val="nil"/>
              <w:left w:val="nil"/>
              <w:bottom w:val="nil"/>
              <w:right w:val="nil"/>
            </w:tcBorders>
            <w:shd w:val="clear" w:color="000000" w:fill="FFFFFF"/>
            <w:noWrap/>
            <w:vAlign w:val="center"/>
            <w:hideMark/>
          </w:tcPr>
          <w:p w:rsidR="001F6B8A" w:rsidRPr="001F6B8A" w:rsidRDefault="001F6B8A" w:rsidP="003672DB">
            <w:pPr>
              <w:jc w:val="center"/>
              <w:rPr>
                <w:color w:val="222222"/>
                <w:sz w:val="20"/>
                <w:szCs w:val="20"/>
                <w:lang w:eastAsia="nl-NL"/>
              </w:rPr>
            </w:pPr>
            <w:r w:rsidRPr="001F6B8A">
              <w:rPr>
                <w:color w:val="222222"/>
                <w:sz w:val="20"/>
                <w:szCs w:val="20"/>
                <w:lang w:eastAsia="nl-NL"/>
              </w:rPr>
              <w:t> </w:t>
            </w:r>
          </w:p>
        </w:tc>
      </w:tr>
      <w:tr w:rsidR="001F6B8A" w:rsidRPr="001F6B8A" w:rsidTr="004D6209">
        <w:trPr>
          <w:trHeight w:val="285"/>
        </w:trPr>
        <w:tc>
          <w:tcPr>
            <w:tcW w:w="9605" w:type="dxa"/>
            <w:gridSpan w:val="6"/>
            <w:tcBorders>
              <w:top w:val="nil"/>
              <w:left w:val="nil"/>
              <w:bottom w:val="nil"/>
              <w:right w:val="nil"/>
            </w:tcBorders>
            <w:shd w:val="clear" w:color="000000" w:fill="FFFFFF"/>
            <w:noWrap/>
            <w:vAlign w:val="bottom"/>
            <w:hideMark/>
          </w:tcPr>
          <w:p w:rsidR="001F6B8A" w:rsidRPr="001F6B8A" w:rsidRDefault="001F6B8A" w:rsidP="003672DB">
            <w:pPr>
              <w:rPr>
                <w:color w:val="000000"/>
                <w:sz w:val="20"/>
                <w:szCs w:val="20"/>
                <w:lang w:eastAsia="nl-NL"/>
              </w:rPr>
            </w:pPr>
            <w:r w:rsidRPr="001F6B8A">
              <w:rPr>
                <w:color w:val="000000"/>
                <w:sz w:val="20"/>
                <w:szCs w:val="20"/>
                <w:lang w:eastAsia="nl-NL"/>
              </w:rPr>
              <w:t xml:space="preserve">*Twee van de vijf </w:t>
            </w:r>
            <w:r>
              <w:rPr>
                <w:color w:val="000000"/>
                <w:sz w:val="20"/>
                <w:szCs w:val="20"/>
                <w:lang w:eastAsia="nl-NL"/>
              </w:rPr>
              <w:t>v</w:t>
            </w:r>
            <w:r w:rsidRPr="001F6B8A">
              <w:rPr>
                <w:color w:val="000000"/>
                <w:sz w:val="20"/>
                <w:szCs w:val="20"/>
                <w:lang w:eastAsia="nl-NL"/>
              </w:rPr>
              <w:t>erdiepingsvakken:</w:t>
            </w:r>
          </w:p>
          <w:p w:rsidR="001F6B8A" w:rsidRPr="001F6B8A" w:rsidRDefault="001F6B8A" w:rsidP="001F6B8A">
            <w:pPr>
              <w:pStyle w:val="ListParagraph"/>
              <w:numPr>
                <w:ilvl w:val="0"/>
                <w:numId w:val="1"/>
              </w:numPr>
              <w:rPr>
                <w:color w:val="000000"/>
                <w:sz w:val="20"/>
                <w:szCs w:val="20"/>
                <w:lang w:eastAsia="nl-NL"/>
              </w:rPr>
            </w:pPr>
            <w:r w:rsidRPr="001F6B8A">
              <w:rPr>
                <w:color w:val="000000"/>
                <w:sz w:val="20"/>
                <w:szCs w:val="20"/>
                <w:lang w:eastAsia="nl-NL"/>
              </w:rPr>
              <w:t>Verdieping human factors</w:t>
            </w:r>
          </w:p>
        </w:tc>
      </w:tr>
      <w:tr w:rsidR="001F6B8A" w:rsidRPr="001F6B8A" w:rsidTr="001F6B8A">
        <w:trPr>
          <w:trHeight w:val="285"/>
        </w:trPr>
        <w:tc>
          <w:tcPr>
            <w:tcW w:w="3825" w:type="dxa"/>
            <w:gridSpan w:val="2"/>
            <w:tcBorders>
              <w:top w:val="nil"/>
              <w:left w:val="nil"/>
              <w:bottom w:val="nil"/>
              <w:right w:val="nil"/>
            </w:tcBorders>
            <w:shd w:val="clear" w:color="000000" w:fill="FFFFFF"/>
            <w:noWrap/>
            <w:vAlign w:val="bottom"/>
            <w:hideMark/>
          </w:tcPr>
          <w:p w:rsidR="001F6B8A" w:rsidRPr="001F6B8A" w:rsidRDefault="001F6B8A" w:rsidP="003672DB">
            <w:pPr>
              <w:pStyle w:val="ListParagraph"/>
              <w:numPr>
                <w:ilvl w:val="0"/>
                <w:numId w:val="1"/>
              </w:numPr>
              <w:rPr>
                <w:color w:val="000000"/>
                <w:sz w:val="20"/>
                <w:szCs w:val="20"/>
                <w:lang w:eastAsia="nl-NL"/>
              </w:rPr>
            </w:pPr>
            <w:r w:rsidRPr="001F6B8A">
              <w:rPr>
                <w:color w:val="000000"/>
                <w:sz w:val="20"/>
                <w:szCs w:val="20"/>
                <w:lang w:eastAsia="nl-NL"/>
              </w:rPr>
              <w:t xml:space="preserve">Psychologie, Technologie en Veiligheid </w:t>
            </w:r>
          </w:p>
        </w:tc>
        <w:tc>
          <w:tcPr>
            <w:tcW w:w="1460" w:type="dxa"/>
            <w:tcBorders>
              <w:top w:val="nil"/>
              <w:left w:val="nil"/>
              <w:bottom w:val="nil"/>
              <w:right w:val="nil"/>
            </w:tcBorders>
            <w:shd w:val="clear" w:color="000000" w:fill="FFFFFF"/>
            <w:noWrap/>
            <w:vAlign w:val="bottom"/>
            <w:hideMark/>
          </w:tcPr>
          <w:p w:rsidR="001F6B8A" w:rsidRPr="001F6B8A" w:rsidRDefault="001F6B8A" w:rsidP="003672DB">
            <w:pPr>
              <w:rPr>
                <w:color w:val="000000"/>
                <w:sz w:val="20"/>
                <w:szCs w:val="20"/>
                <w:lang w:eastAsia="nl-NL"/>
              </w:rPr>
            </w:pPr>
            <w:r w:rsidRPr="001F6B8A">
              <w:rPr>
                <w:color w:val="000000"/>
                <w:sz w:val="20"/>
                <w:szCs w:val="20"/>
                <w:lang w:eastAsia="nl-NL"/>
              </w:rPr>
              <w:t> </w:t>
            </w:r>
          </w:p>
        </w:tc>
        <w:tc>
          <w:tcPr>
            <w:tcW w:w="1460" w:type="dxa"/>
            <w:tcBorders>
              <w:top w:val="nil"/>
              <w:left w:val="nil"/>
              <w:bottom w:val="nil"/>
              <w:right w:val="nil"/>
            </w:tcBorders>
            <w:shd w:val="clear" w:color="000000" w:fill="FFFFFF"/>
            <w:noWrap/>
            <w:vAlign w:val="bottom"/>
            <w:hideMark/>
          </w:tcPr>
          <w:p w:rsidR="001F6B8A" w:rsidRPr="001F6B8A" w:rsidRDefault="001F6B8A" w:rsidP="003672DB">
            <w:pPr>
              <w:rPr>
                <w:color w:val="000000"/>
                <w:sz w:val="20"/>
                <w:szCs w:val="20"/>
                <w:lang w:eastAsia="nl-NL"/>
              </w:rPr>
            </w:pPr>
            <w:r w:rsidRPr="001F6B8A">
              <w:rPr>
                <w:color w:val="000000"/>
                <w:sz w:val="20"/>
                <w:szCs w:val="20"/>
                <w:lang w:eastAsia="nl-NL"/>
              </w:rPr>
              <w:t> </w:t>
            </w:r>
          </w:p>
        </w:tc>
        <w:tc>
          <w:tcPr>
            <w:tcW w:w="1460" w:type="dxa"/>
            <w:tcBorders>
              <w:top w:val="nil"/>
              <w:left w:val="nil"/>
              <w:bottom w:val="nil"/>
              <w:right w:val="nil"/>
            </w:tcBorders>
            <w:shd w:val="clear" w:color="000000" w:fill="FFFFFF"/>
            <w:noWrap/>
            <w:vAlign w:val="bottom"/>
            <w:hideMark/>
          </w:tcPr>
          <w:p w:rsidR="001F6B8A" w:rsidRPr="001F6B8A" w:rsidRDefault="001F6B8A" w:rsidP="003672DB">
            <w:pPr>
              <w:rPr>
                <w:color w:val="000000"/>
                <w:sz w:val="20"/>
                <w:szCs w:val="20"/>
                <w:lang w:eastAsia="nl-NL"/>
              </w:rPr>
            </w:pPr>
            <w:r w:rsidRPr="001F6B8A">
              <w:rPr>
                <w:color w:val="000000"/>
                <w:sz w:val="20"/>
                <w:szCs w:val="20"/>
                <w:lang w:eastAsia="nl-NL"/>
              </w:rPr>
              <w:t> </w:t>
            </w:r>
          </w:p>
        </w:tc>
        <w:tc>
          <w:tcPr>
            <w:tcW w:w="1400" w:type="dxa"/>
            <w:tcBorders>
              <w:top w:val="nil"/>
              <w:left w:val="nil"/>
              <w:bottom w:val="nil"/>
              <w:right w:val="nil"/>
            </w:tcBorders>
            <w:shd w:val="clear" w:color="000000" w:fill="FFFFFF"/>
            <w:noWrap/>
            <w:vAlign w:val="bottom"/>
            <w:hideMark/>
          </w:tcPr>
          <w:p w:rsidR="001F6B8A" w:rsidRPr="001F6B8A" w:rsidRDefault="001F6B8A" w:rsidP="003672DB">
            <w:pPr>
              <w:rPr>
                <w:color w:val="000000"/>
                <w:sz w:val="20"/>
                <w:szCs w:val="20"/>
                <w:lang w:eastAsia="nl-NL"/>
              </w:rPr>
            </w:pPr>
            <w:r w:rsidRPr="001F6B8A">
              <w:rPr>
                <w:color w:val="000000"/>
                <w:sz w:val="20"/>
                <w:szCs w:val="20"/>
                <w:lang w:eastAsia="nl-NL"/>
              </w:rPr>
              <w:t> </w:t>
            </w:r>
          </w:p>
        </w:tc>
      </w:tr>
      <w:tr w:rsidR="001F6B8A" w:rsidRPr="001F6B8A" w:rsidTr="0081716F">
        <w:trPr>
          <w:trHeight w:val="285"/>
        </w:trPr>
        <w:tc>
          <w:tcPr>
            <w:tcW w:w="8205" w:type="dxa"/>
            <w:gridSpan w:val="5"/>
            <w:tcBorders>
              <w:top w:val="nil"/>
              <w:left w:val="nil"/>
              <w:bottom w:val="nil"/>
              <w:right w:val="nil"/>
            </w:tcBorders>
            <w:shd w:val="clear" w:color="000000" w:fill="FFFFFF"/>
            <w:noWrap/>
            <w:vAlign w:val="bottom"/>
            <w:hideMark/>
          </w:tcPr>
          <w:p w:rsidR="001F6B8A" w:rsidRPr="001F6B8A" w:rsidRDefault="001F6B8A" w:rsidP="001F6B8A">
            <w:pPr>
              <w:pStyle w:val="ListParagraph"/>
              <w:numPr>
                <w:ilvl w:val="0"/>
                <w:numId w:val="1"/>
              </w:numPr>
              <w:rPr>
                <w:color w:val="000000"/>
                <w:sz w:val="20"/>
                <w:szCs w:val="20"/>
                <w:lang w:eastAsia="nl-NL"/>
              </w:rPr>
            </w:pPr>
            <w:r w:rsidRPr="001F6B8A">
              <w:rPr>
                <w:color w:val="000000"/>
                <w:sz w:val="20"/>
                <w:szCs w:val="20"/>
                <w:lang w:eastAsia="nl-NL"/>
              </w:rPr>
              <w:t xml:space="preserve">Onbewuste processen en gezondheidsgedrag </w:t>
            </w:r>
          </w:p>
        </w:tc>
        <w:tc>
          <w:tcPr>
            <w:tcW w:w="1400" w:type="dxa"/>
            <w:tcBorders>
              <w:top w:val="nil"/>
              <w:left w:val="nil"/>
              <w:bottom w:val="nil"/>
              <w:right w:val="nil"/>
            </w:tcBorders>
            <w:shd w:val="clear" w:color="000000" w:fill="FFFFFF"/>
            <w:noWrap/>
            <w:vAlign w:val="bottom"/>
            <w:hideMark/>
          </w:tcPr>
          <w:p w:rsidR="001F6B8A" w:rsidRPr="001F6B8A" w:rsidRDefault="001F6B8A" w:rsidP="003672DB">
            <w:pPr>
              <w:rPr>
                <w:color w:val="000000"/>
                <w:sz w:val="20"/>
                <w:szCs w:val="20"/>
                <w:lang w:eastAsia="nl-NL"/>
              </w:rPr>
            </w:pPr>
            <w:r w:rsidRPr="001F6B8A">
              <w:rPr>
                <w:color w:val="000000"/>
                <w:sz w:val="20"/>
                <w:szCs w:val="20"/>
                <w:lang w:eastAsia="nl-NL"/>
              </w:rPr>
              <w:t> </w:t>
            </w:r>
          </w:p>
        </w:tc>
      </w:tr>
      <w:tr w:rsidR="001F6B8A" w:rsidRPr="001F6B8A" w:rsidTr="00D71369">
        <w:trPr>
          <w:trHeight w:val="285"/>
        </w:trPr>
        <w:tc>
          <w:tcPr>
            <w:tcW w:w="8205" w:type="dxa"/>
            <w:gridSpan w:val="5"/>
            <w:tcBorders>
              <w:top w:val="nil"/>
              <w:left w:val="nil"/>
              <w:bottom w:val="nil"/>
              <w:right w:val="nil"/>
            </w:tcBorders>
            <w:shd w:val="clear" w:color="000000" w:fill="FFFFFF"/>
            <w:vAlign w:val="bottom"/>
            <w:hideMark/>
          </w:tcPr>
          <w:p w:rsidR="001F6B8A" w:rsidRPr="001F6B8A" w:rsidRDefault="001F6B8A" w:rsidP="001F6B8A">
            <w:pPr>
              <w:pStyle w:val="ListParagraph"/>
              <w:numPr>
                <w:ilvl w:val="0"/>
                <w:numId w:val="1"/>
              </w:numPr>
              <w:rPr>
                <w:color w:val="000000"/>
                <w:sz w:val="20"/>
                <w:szCs w:val="20"/>
                <w:lang w:eastAsia="nl-NL"/>
              </w:rPr>
            </w:pPr>
            <w:r w:rsidRPr="001F6B8A">
              <w:rPr>
                <w:color w:val="000000"/>
                <w:sz w:val="20"/>
                <w:szCs w:val="20"/>
                <w:lang w:eastAsia="nl-NL"/>
              </w:rPr>
              <w:t xml:space="preserve">Leren bij kinderen en adolescenten </w:t>
            </w:r>
          </w:p>
        </w:tc>
        <w:tc>
          <w:tcPr>
            <w:tcW w:w="1400" w:type="dxa"/>
            <w:tcBorders>
              <w:top w:val="nil"/>
              <w:left w:val="nil"/>
              <w:bottom w:val="nil"/>
              <w:right w:val="nil"/>
            </w:tcBorders>
            <w:shd w:val="clear" w:color="000000" w:fill="FFFFFF"/>
            <w:noWrap/>
            <w:vAlign w:val="bottom"/>
            <w:hideMark/>
          </w:tcPr>
          <w:p w:rsidR="001F6B8A" w:rsidRPr="001F6B8A" w:rsidRDefault="001F6B8A" w:rsidP="003672DB">
            <w:pPr>
              <w:rPr>
                <w:color w:val="000000"/>
                <w:sz w:val="20"/>
                <w:szCs w:val="20"/>
                <w:lang w:eastAsia="nl-NL"/>
              </w:rPr>
            </w:pPr>
            <w:r w:rsidRPr="001F6B8A">
              <w:rPr>
                <w:color w:val="000000"/>
                <w:sz w:val="20"/>
                <w:szCs w:val="20"/>
                <w:lang w:eastAsia="nl-NL"/>
              </w:rPr>
              <w:t> </w:t>
            </w:r>
          </w:p>
        </w:tc>
      </w:tr>
      <w:tr w:rsidR="001F6B8A" w:rsidRPr="001F6B8A" w:rsidTr="001E5CCE">
        <w:trPr>
          <w:trHeight w:val="285"/>
        </w:trPr>
        <w:tc>
          <w:tcPr>
            <w:tcW w:w="9605" w:type="dxa"/>
            <w:gridSpan w:val="6"/>
            <w:tcBorders>
              <w:top w:val="nil"/>
              <w:left w:val="nil"/>
              <w:bottom w:val="nil"/>
              <w:right w:val="nil"/>
            </w:tcBorders>
            <w:shd w:val="clear" w:color="000000" w:fill="FFFFFF"/>
            <w:vAlign w:val="bottom"/>
            <w:hideMark/>
          </w:tcPr>
          <w:p w:rsidR="001F6B8A" w:rsidRPr="001F6B8A" w:rsidRDefault="001F6B8A" w:rsidP="001F6B8A">
            <w:pPr>
              <w:pStyle w:val="ListParagraph"/>
              <w:numPr>
                <w:ilvl w:val="0"/>
                <w:numId w:val="1"/>
              </w:numPr>
              <w:rPr>
                <w:color w:val="000000"/>
                <w:sz w:val="20"/>
                <w:szCs w:val="20"/>
                <w:lang w:eastAsia="nl-NL"/>
              </w:rPr>
            </w:pPr>
            <w:r w:rsidRPr="001F6B8A">
              <w:rPr>
                <w:color w:val="000000"/>
                <w:sz w:val="20"/>
                <w:szCs w:val="20"/>
                <w:lang w:eastAsia="nl-NL"/>
              </w:rPr>
              <w:t>Narratieve psychologie **</w:t>
            </w:r>
          </w:p>
        </w:tc>
      </w:tr>
      <w:tr w:rsidR="001F6B8A" w:rsidRPr="001F6B8A" w:rsidTr="001F6B8A">
        <w:trPr>
          <w:trHeight w:val="285"/>
        </w:trPr>
        <w:tc>
          <w:tcPr>
            <w:tcW w:w="2365" w:type="dxa"/>
            <w:tcBorders>
              <w:top w:val="nil"/>
              <w:left w:val="nil"/>
              <w:bottom w:val="nil"/>
              <w:right w:val="nil"/>
            </w:tcBorders>
            <w:shd w:val="clear" w:color="000000" w:fill="FFFFFF"/>
            <w:noWrap/>
            <w:vAlign w:val="bottom"/>
            <w:hideMark/>
          </w:tcPr>
          <w:p w:rsidR="001F6B8A" w:rsidRPr="001F6B8A" w:rsidRDefault="001F6B8A" w:rsidP="003672DB">
            <w:pPr>
              <w:rPr>
                <w:color w:val="000000"/>
                <w:sz w:val="20"/>
                <w:szCs w:val="20"/>
                <w:lang w:eastAsia="nl-NL"/>
              </w:rPr>
            </w:pPr>
          </w:p>
        </w:tc>
        <w:tc>
          <w:tcPr>
            <w:tcW w:w="1460" w:type="dxa"/>
            <w:tcBorders>
              <w:top w:val="nil"/>
              <w:left w:val="nil"/>
              <w:bottom w:val="nil"/>
              <w:right w:val="nil"/>
            </w:tcBorders>
            <w:shd w:val="clear" w:color="000000" w:fill="FFFFFF"/>
            <w:noWrap/>
            <w:vAlign w:val="bottom"/>
            <w:hideMark/>
          </w:tcPr>
          <w:p w:rsidR="001F6B8A" w:rsidRPr="001F6B8A" w:rsidRDefault="001F6B8A" w:rsidP="003672DB">
            <w:pPr>
              <w:rPr>
                <w:color w:val="000000"/>
                <w:sz w:val="20"/>
                <w:szCs w:val="20"/>
                <w:lang w:eastAsia="nl-NL"/>
              </w:rPr>
            </w:pPr>
            <w:r w:rsidRPr="001F6B8A">
              <w:rPr>
                <w:color w:val="000000"/>
                <w:sz w:val="20"/>
                <w:szCs w:val="20"/>
                <w:lang w:eastAsia="nl-NL"/>
              </w:rPr>
              <w:t> </w:t>
            </w:r>
          </w:p>
        </w:tc>
        <w:tc>
          <w:tcPr>
            <w:tcW w:w="1460" w:type="dxa"/>
            <w:tcBorders>
              <w:top w:val="nil"/>
              <w:left w:val="nil"/>
              <w:bottom w:val="nil"/>
              <w:right w:val="nil"/>
            </w:tcBorders>
            <w:shd w:val="clear" w:color="000000" w:fill="FFFFFF"/>
            <w:noWrap/>
            <w:vAlign w:val="bottom"/>
            <w:hideMark/>
          </w:tcPr>
          <w:p w:rsidR="001F6B8A" w:rsidRPr="001F6B8A" w:rsidRDefault="001F6B8A" w:rsidP="003672DB">
            <w:pPr>
              <w:rPr>
                <w:color w:val="000000"/>
                <w:sz w:val="20"/>
                <w:szCs w:val="20"/>
                <w:lang w:eastAsia="nl-NL"/>
              </w:rPr>
            </w:pPr>
            <w:r w:rsidRPr="001F6B8A">
              <w:rPr>
                <w:color w:val="000000"/>
                <w:sz w:val="20"/>
                <w:szCs w:val="20"/>
                <w:lang w:eastAsia="nl-NL"/>
              </w:rPr>
              <w:t> </w:t>
            </w:r>
          </w:p>
        </w:tc>
        <w:tc>
          <w:tcPr>
            <w:tcW w:w="1460" w:type="dxa"/>
            <w:tcBorders>
              <w:top w:val="nil"/>
              <w:left w:val="nil"/>
              <w:bottom w:val="nil"/>
              <w:right w:val="nil"/>
            </w:tcBorders>
            <w:shd w:val="clear" w:color="000000" w:fill="FFFFFF"/>
            <w:noWrap/>
            <w:vAlign w:val="bottom"/>
            <w:hideMark/>
          </w:tcPr>
          <w:p w:rsidR="001F6B8A" w:rsidRPr="001F6B8A" w:rsidRDefault="001F6B8A" w:rsidP="003672DB">
            <w:pPr>
              <w:rPr>
                <w:color w:val="000000"/>
                <w:sz w:val="20"/>
                <w:szCs w:val="20"/>
                <w:lang w:eastAsia="nl-NL"/>
              </w:rPr>
            </w:pPr>
            <w:r w:rsidRPr="001F6B8A">
              <w:rPr>
                <w:color w:val="000000"/>
                <w:sz w:val="20"/>
                <w:szCs w:val="20"/>
                <w:lang w:eastAsia="nl-NL"/>
              </w:rPr>
              <w:t> </w:t>
            </w:r>
          </w:p>
        </w:tc>
        <w:tc>
          <w:tcPr>
            <w:tcW w:w="1460" w:type="dxa"/>
            <w:tcBorders>
              <w:top w:val="nil"/>
              <w:left w:val="nil"/>
              <w:bottom w:val="nil"/>
              <w:right w:val="nil"/>
            </w:tcBorders>
            <w:shd w:val="clear" w:color="000000" w:fill="FFFFFF"/>
            <w:noWrap/>
            <w:vAlign w:val="bottom"/>
            <w:hideMark/>
          </w:tcPr>
          <w:p w:rsidR="001F6B8A" w:rsidRPr="001F6B8A" w:rsidRDefault="001F6B8A" w:rsidP="003672DB">
            <w:pPr>
              <w:rPr>
                <w:color w:val="000000"/>
                <w:sz w:val="20"/>
                <w:szCs w:val="20"/>
                <w:lang w:eastAsia="nl-NL"/>
              </w:rPr>
            </w:pPr>
            <w:r w:rsidRPr="001F6B8A">
              <w:rPr>
                <w:color w:val="000000"/>
                <w:sz w:val="20"/>
                <w:szCs w:val="20"/>
                <w:lang w:eastAsia="nl-NL"/>
              </w:rPr>
              <w:t> </w:t>
            </w:r>
          </w:p>
        </w:tc>
        <w:tc>
          <w:tcPr>
            <w:tcW w:w="1400" w:type="dxa"/>
            <w:tcBorders>
              <w:top w:val="nil"/>
              <w:left w:val="nil"/>
              <w:bottom w:val="nil"/>
              <w:right w:val="nil"/>
            </w:tcBorders>
            <w:shd w:val="clear" w:color="000000" w:fill="FFFFFF"/>
            <w:noWrap/>
            <w:vAlign w:val="bottom"/>
            <w:hideMark/>
          </w:tcPr>
          <w:p w:rsidR="001F6B8A" w:rsidRPr="001F6B8A" w:rsidRDefault="001F6B8A" w:rsidP="003672DB">
            <w:pPr>
              <w:rPr>
                <w:color w:val="000000"/>
                <w:sz w:val="20"/>
                <w:szCs w:val="20"/>
                <w:lang w:eastAsia="nl-NL"/>
              </w:rPr>
            </w:pPr>
            <w:r w:rsidRPr="001F6B8A">
              <w:rPr>
                <w:color w:val="000000"/>
                <w:sz w:val="20"/>
                <w:szCs w:val="20"/>
                <w:lang w:eastAsia="nl-NL"/>
              </w:rPr>
              <w:t> </w:t>
            </w:r>
          </w:p>
        </w:tc>
      </w:tr>
      <w:tr w:rsidR="001F6B8A" w:rsidRPr="001F6B8A" w:rsidTr="001F6B8A">
        <w:trPr>
          <w:trHeight w:val="300"/>
        </w:trPr>
        <w:tc>
          <w:tcPr>
            <w:tcW w:w="2365" w:type="dxa"/>
            <w:tcBorders>
              <w:top w:val="nil"/>
              <w:left w:val="nil"/>
              <w:bottom w:val="nil"/>
              <w:right w:val="nil"/>
            </w:tcBorders>
            <w:shd w:val="clear" w:color="000000" w:fill="FFFFFF"/>
            <w:noWrap/>
            <w:vAlign w:val="center"/>
            <w:hideMark/>
          </w:tcPr>
          <w:p w:rsidR="001F6B8A" w:rsidRPr="001F6B8A" w:rsidRDefault="001F6B8A" w:rsidP="003672DB">
            <w:pPr>
              <w:rPr>
                <w:color w:val="222222"/>
                <w:sz w:val="20"/>
                <w:szCs w:val="20"/>
                <w:lang w:eastAsia="nl-NL"/>
              </w:rPr>
            </w:pPr>
            <w:r w:rsidRPr="001F6B8A">
              <w:rPr>
                <w:b/>
                <w:bCs/>
                <w:color w:val="222222"/>
                <w:sz w:val="20"/>
                <w:szCs w:val="20"/>
                <w:lang w:eastAsia="nl-NL"/>
              </w:rPr>
              <w:t>**</w:t>
            </w:r>
            <w:r w:rsidRPr="001F6B8A">
              <w:rPr>
                <w:color w:val="222222"/>
                <w:sz w:val="20"/>
                <w:szCs w:val="20"/>
                <w:lang w:eastAsia="nl-NL"/>
              </w:rPr>
              <w:t>Tijdig contact opnemen met docent</w:t>
            </w:r>
          </w:p>
        </w:tc>
        <w:tc>
          <w:tcPr>
            <w:tcW w:w="1460" w:type="dxa"/>
            <w:tcBorders>
              <w:top w:val="nil"/>
              <w:left w:val="nil"/>
              <w:bottom w:val="nil"/>
              <w:right w:val="nil"/>
            </w:tcBorders>
            <w:shd w:val="clear" w:color="000000" w:fill="FFFFFF"/>
            <w:noWrap/>
            <w:vAlign w:val="bottom"/>
            <w:hideMark/>
          </w:tcPr>
          <w:p w:rsidR="001F6B8A" w:rsidRPr="001F6B8A" w:rsidRDefault="001F6B8A" w:rsidP="003672DB">
            <w:pPr>
              <w:rPr>
                <w:color w:val="000000"/>
                <w:sz w:val="20"/>
                <w:szCs w:val="20"/>
                <w:lang w:eastAsia="nl-NL"/>
              </w:rPr>
            </w:pPr>
            <w:r w:rsidRPr="001F6B8A">
              <w:rPr>
                <w:color w:val="000000"/>
                <w:sz w:val="20"/>
                <w:szCs w:val="20"/>
                <w:lang w:eastAsia="nl-NL"/>
              </w:rPr>
              <w:t> </w:t>
            </w:r>
          </w:p>
        </w:tc>
        <w:tc>
          <w:tcPr>
            <w:tcW w:w="1460" w:type="dxa"/>
            <w:tcBorders>
              <w:top w:val="nil"/>
              <w:left w:val="nil"/>
              <w:bottom w:val="nil"/>
              <w:right w:val="nil"/>
            </w:tcBorders>
            <w:shd w:val="clear" w:color="000000" w:fill="FFFFFF"/>
            <w:noWrap/>
            <w:vAlign w:val="bottom"/>
            <w:hideMark/>
          </w:tcPr>
          <w:p w:rsidR="001F6B8A" w:rsidRPr="001F6B8A" w:rsidRDefault="001F6B8A" w:rsidP="003672DB">
            <w:pPr>
              <w:rPr>
                <w:color w:val="000000"/>
                <w:sz w:val="20"/>
                <w:szCs w:val="20"/>
                <w:lang w:eastAsia="nl-NL"/>
              </w:rPr>
            </w:pPr>
            <w:r w:rsidRPr="001F6B8A">
              <w:rPr>
                <w:color w:val="000000"/>
                <w:sz w:val="20"/>
                <w:szCs w:val="20"/>
                <w:lang w:eastAsia="nl-NL"/>
              </w:rPr>
              <w:t> </w:t>
            </w:r>
          </w:p>
        </w:tc>
        <w:tc>
          <w:tcPr>
            <w:tcW w:w="1460" w:type="dxa"/>
            <w:tcBorders>
              <w:top w:val="nil"/>
              <w:left w:val="nil"/>
              <w:bottom w:val="nil"/>
              <w:right w:val="nil"/>
            </w:tcBorders>
            <w:shd w:val="clear" w:color="000000" w:fill="FFFFFF"/>
            <w:noWrap/>
            <w:vAlign w:val="bottom"/>
            <w:hideMark/>
          </w:tcPr>
          <w:p w:rsidR="001F6B8A" w:rsidRPr="001F6B8A" w:rsidRDefault="001F6B8A" w:rsidP="003672DB">
            <w:pPr>
              <w:rPr>
                <w:color w:val="000000"/>
                <w:sz w:val="20"/>
                <w:szCs w:val="20"/>
                <w:lang w:eastAsia="nl-NL"/>
              </w:rPr>
            </w:pPr>
            <w:r w:rsidRPr="001F6B8A">
              <w:rPr>
                <w:color w:val="000000"/>
                <w:sz w:val="20"/>
                <w:szCs w:val="20"/>
                <w:lang w:eastAsia="nl-NL"/>
              </w:rPr>
              <w:t> </w:t>
            </w:r>
          </w:p>
        </w:tc>
        <w:tc>
          <w:tcPr>
            <w:tcW w:w="1460" w:type="dxa"/>
            <w:tcBorders>
              <w:top w:val="nil"/>
              <w:left w:val="nil"/>
              <w:bottom w:val="nil"/>
              <w:right w:val="nil"/>
            </w:tcBorders>
            <w:shd w:val="clear" w:color="000000" w:fill="FFFFFF"/>
            <w:noWrap/>
            <w:vAlign w:val="bottom"/>
            <w:hideMark/>
          </w:tcPr>
          <w:p w:rsidR="001F6B8A" w:rsidRPr="001F6B8A" w:rsidRDefault="001F6B8A" w:rsidP="003672DB">
            <w:pPr>
              <w:rPr>
                <w:color w:val="000000"/>
                <w:sz w:val="20"/>
                <w:szCs w:val="20"/>
                <w:lang w:eastAsia="nl-NL"/>
              </w:rPr>
            </w:pPr>
            <w:r w:rsidRPr="001F6B8A">
              <w:rPr>
                <w:color w:val="000000"/>
                <w:sz w:val="20"/>
                <w:szCs w:val="20"/>
                <w:lang w:eastAsia="nl-NL"/>
              </w:rPr>
              <w:t> </w:t>
            </w:r>
          </w:p>
        </w:tc>
        <w:tc>
          <w:tcPr>
            <w:tcW w:w="1400" w:type="dxa"/>
            <w:tcBorders>
              <w:top w:val="nil"/>
              <w:left w:val="nil"/>
              <w:bottom w:val="nil"/>
              <w:right w:val="nil"/>
            </w:tcBorders>
            <w:shd w:val="clear" w:color="000000" w:fill="FFFFFF"/>
            <w:noWrap/>
            <w:vAlign w:val="bottom"/>
            <w:hideMark/>
          </w:tcPr>
          <w:p w:rsidR="001F6B8A" w:rsidRPr="001F6B8A" w:rsidRDefault="001F6B8A" w:rsidP="003672DB">
            <w:pPr>
              <w:rPr>
                <w:color w:val="000000"/>
                <w:sz w:val="20"/>
                <w:szCs w:val="20"/>
                <w:lang w:eastAsia="nl-NL"/>
              </w:rPr>
            </w:pPr>
            <w:r w:rsidRPr="001F6B8A">
              <w:rPr>
                <w:color w:val="000000"/>
                <w:sz w:val="20"/>
                <w:szCs w:val="20"/>
                <w:lang w:eastAsia="nl-NL"/>
              </w:rPr>
              <w:t> </w:t>
            </w:r>
          </w:p>
        </w:tc>
      </w:tr>
    </w:tbl>
    <w:p w:rsidR="001F6B8A" w:rsidRDefault="001F6B8A" w:rsidP="00E8613E"/>
    <w:p w:rsidR="001F6B8A" w:rsidRDefault="001F6B8A" w:rsidP="00E8613E"/>
    <w:p w:rsidR="003D6E96" w:rsidRPr="00204B50" w:rsidRDefault="003D6E96" w:rsidP="00E8613E">
      <w:r w:rsidRPr="00204B50">
        <w:lastRenderedPageBreak/>
        <w:t>Studenten die na de herkansingen nog vakken moeten behalen waarvoor geen herkansingen meer worden aangeboden</w:t>
      </w:r>
      <w:r w:rsidR="00204B50">
        <w:t>,</w:t>
      </w:r>
      <w:r w:rsidRPr="00204B50">
        <w:t xml:space="preserve"> dienen zich ten alle tijde te melden bij de studieadviseur. Zij moeten (in principe) overstappen op (equivalente) TOM onderwijseenheden van 15EC.</w:t>
      </w:r>
      <w:r w:rsidR="001F6B8A">
        <w:t xml:space="preserve"> Hieronder vind je per vak welke module als vervangende onderwijseenheid geldt.</w:t>
      </w:r>
    </w:p>
    <w:p w:rsidR="00E8613E" w:rsidRPr="00204B50" w:rsidRDefault="00E8613E" w:rsidP="00E8613E">
      <w:pPr>
        <w:spacing w:line="276" w:lineRule="auto"/>
        <w:outlineLvl w:val="0"/>
        <w:rPr>
          <w:rFonts w:eastAsia="Calibri"/>
          <w:b/>
          <w:highlight w:val="yellow"/>
        </w:rPr>
      </w:pPr>
    </w:p>
    <w:p w:rsidR="00E8613E" w:rsidRPr="00204B50" w:rsidRDefault="00E8613E" w:rsidP="00E8613E">
      <w:pPr>
        <w:outlineLvl w:val="0"/>
        <w:rPr>
          <w:rFonts w:eastAsia="Calibri"/>
          <w:i/>
        </w:rPr>
      </w:pPr>
      <w:r w:rsidRPr="00204B50">
        <w:rPr>
          <w:rFonts w:eastAsia="Calibri"/>
          <w:i/>
        </w:rPr>
        <w:t xml:space="preserve">Inleiding risico- en conflictpsychologie </w:t>
      </w:r>
      <w:r w:rsidR="00204B50">
        <w:rPr>
          <w:rFonts w:eastAsia="Calibri"/>
          <w:i/>
        </w:rPr>
        <w:t>(</w:t>
      </w:r>
      <w:r w:rsidR="00204B50" w:rsidRPr="00204B50">
        <w:rPr>
          <w:rFonts w:eastAsia="Calibri"/>
          <w:i/>
        </w:rPr>
        <w:t>201000122</w:t>
      </w:r>
      <w:r w:rsidR="00204B50">
        <w:rPr>
          <w:rFonts w:eastAsia="Calibri"/>
          <w:i/>
        </w:rPr>
        <w:t>)</w:t>
      </w:r>
    </w:p>
    <w:p w:rsidR="00E8613E" w:rsidRPr="00204B50" w:rsidRDefault="00E8613E" w:rsidP="00E8613E">
      <w:pPr>
        <w:outlineLvl w:val="0"/>
        <w:rPr>
          <w:rFonts w:eastAsia="Calibri"/>
        </w:rPr>
      </w:pPr>
      <w:r w:rsidRPr="00204B50">
        <w:rPr>
          <w:rFonts w:eastAsia="Calibri"/>
        </w:rPr>
        <w:t>Dit vak is in het studiejaar 2013-2014 voor het laatst aangeboden. In het studiejaar 2014-2015 worden twee herkansingen voor het vak aangeboden, in blok 1A en 1B.</w:t>
      </w:r>
    </w:p>
    <w:p w:rsidR="00E8613E" w:rsidRPr="00204B50" w:rsidRDefault="00E8613E" w:rsidP="00E8613E">
      <w:pPr>
        <w:outlineLvl w:val="0"/>
        <w:rPr>
          <w:rFonts w:eastAsia="Calibri"/>
        </w:rPr>
      </w:pPr>
      <w:r w:rsidRPr="00204B50">
        <w:rPr>
          <w:rFonts w:eastAsia="Calibri"/>
        </w:rPr>
        <w:t xml:space="preserve">Voor dit vak geldt als vervangende onderwijseenheid in het (nieuwe) TOM onderwijsprogramma module </w:t>
      </w:r>
      <w:proofErr w:type="spellStart"/>
      <w:r w:rsidRPr="00204B50">
        <w:rPr>
          <w:rFonts w:eastAsia="Calibri"/>
        </w:rPr>
        <w:t>Psychology</w:t>
      </w:r>
      <w:proofErr w:type="spellEnd"/>
      <w:r w:rsidRPr="00204B50">
        <w:rPr>
          <w:rFonts w:eastAsia="Calibri"/>
        </w:rPr>
        <w:t xml:space="preserve"> of Safety (15EC).</w:t>
      </w:r>
    </w:p>
    <w:p w:rsidR="00E8613E" w:rsidRPr="00204B50" w:rsidRDefault="00E8613E" w:rsidP="00E8613E">
      <w:pPr>
        <w:outlineLvl w:val="0"/>
        <w:rPr>
          <w:rFonts w:eastAsia="Calibri"/>
          <w:b/>
        </w:rPr>
      </w:pPr>
    </w:p>
    <w:p w:rsidR="00E8613E" w:rsidRPr="00204B50" w:rsidRDefault="00E8613E" w:rsidP="00E8613E">
      <w:pPr>
        <w:outlineLvl w:val="0"/>
        <w:rPr>
          <w:rFonts w:eastAsia="Calibri"/>
          <w:i/>
        </w:rPr>
      </w:pPr>
      <w:r w:rsidRPr="00204B50">
        <w:rPr>
          <w:rFonts w:eastAsia="Calibri"/>
          <w:i/>
        </w:rPr>
        <w:t xml:space="preserve">Human Factors &amp; Engineering </w:t>
      </w:r>
      <w:proofErr w:type="spellStart"/>
      <w:r w:rsidRPr="00204B50">
        <w:rPr>
          <w:rFonts w:eastAsia="Calibri"/>
          <w:i/>
        </w:rPr>
        <w:t>psychology</w:t>
      </w:r>
      <w:proofErr w:type="spellEnd"/>
      <w:r w:rsidR="00204B50">
        <w:rPr>
          <w:rFonts w:eastAsia="Calibri"/>
          <w:i/>
        </w:rPr>
        <w:t xml:space="preserve"> (</w:t>
      </w:r>
      <w:r w:rsidR="00204B50" w:rsidRPr="00204B50">
        <w:rPr>
          <w:rFonts w:eastAsia="Calibri"/>
          <w:i/>
        </w:rPr>
        <w:t>201300076</w:t>
      </w:r>
      <w:r w:rsidR="00204B50">
        <w:rPr>
          <w:rFonts w:eastAsia="Calibri"/>
          <w:i/>
        </w:rPr>
        <w:t>)</w:t>
      </w:r>
    </w:p>
    <w:p w:rsidR="00E8613E" w:rsidRPr="00204B50" w:rsidRDefault="00E8613E" w:rsidP="00E8613E">
      <w:pPr>
        <w:outlineLvl w:val="0"/>
        <w:rPr>
          <w:rFonts w:eastAsia="Calibri"/>
        </w:rPr>
      </w:pPr>
      <w:r w:rsidRPr="00204B50">
        <w:rPr>
          <w:rFonts w:eastAsia="Calibri"/>
        </w:rPr>
        <w:t>Dit vak is in het studiejaar 2013-2014 voor het laatst aangeboden. In het studiejaar 2014-2015 worden twee herkansingen voor het vak aangeboden, in blok 1A en 1B.</w:t>
      </w:r>
    </w:p>
    <w:p w:rsidR="00E8613E" w:rsidRPr="00204B50" w:rsidRDefault="00E8613E" w:rsidP="00E8613E">
      <w:pPr>
        <w:outlineLvl w:val="0"/>
        <w:rPr>
          <w:rFonts w:eastAsia="Calibri"/>
        </w:rPr>
      </w:pPr>
      <w:r w:rsidRPr="00204B50">
        <w:rPr>
          <w:rFonts w:eastAsia="Calibri"/>
        </w:rPr>
        <w:t xml:space="preserve">Voor dit vak geldt als vervangende onderwijseenheid in het (nieuwe) TOM onderwijsprogramma module Human Factors &amp; Engineering </w:t>
      </w:r>
      <w:proofErr w:type="spellStart"/>
      <w:r w:rsidRPr="00204B50">
        <w:rPr>
          <w:rFonts w:eastAsia="Calibri"/>
        </w:rPr>
        <w:t>Psychology</w:t>
      </w:r>
      <w:proofErr w:type="spellEnd"/>
      <w:r w:rsidRPr="00204B50">
        <w:rPr>
          <w:rFonts w:eastAsia="Calibri"/>
        </w:rPr>
        <w:t xml:space="preserve"> (15EC).</w:t>
      </w:r>
    </w:p>
    <w:p w:rsidR="00E8613E" w:rsidRPr="00204B50" w:rsidRDefault="00E8613E" w:rsidP="00E8613E">
      <w:pPr>
        <w:outlineLvl w:val="0"/>
        <w:rPr>
          <w:rFonts w:eastAsia="Calibri"/>
        </w:rPr>
      </w:pPr>
    </w:p>
    <w:p w:rsidR="00E8613E" w:rsidRPr="00204B50" w:rsidRDefault="00E8613E" w:rsidP="00E8613E">
      <w:pPr>
        <w:outlineLvl w:val="0"/>
        <w:rPr>
          <w:rFonts w:eastAsia="Calibri"/>
          <w:i/>
        </w:rPr>
      </w:pPr>
      <w:r w:rsidRPr="00204B50">
        <w:rPr>
          <w:rFonts w:eastAsia="Calibri"/>
          <w:i/>
        </w:rPr>
        <w:t>Dataverzameling voor Psychologie</w:t>
      </w:r>
      <w:r w:rsidR="00204B50">
        <w:rPr>
          <w:rFonts w:eastAsia="Calibri"/>
          <w:i/>
        </w:rPr>
        <w:t xml:space="preserve"> (</w:t>
      </w:r>
      <w:r w:rsidR="00204B50" w:rsidRPr="00204B50">
        <w:rPr>
          <w:rFonts w:eastAsia="Calibri"/>
          <w:i/>
        </w:rPr>
        <w:t>192962010</w:t>
      </w:r>
      <w:r w:rsidR="00204B50">
        <w:rPr>
          <w:rFonts w:eastAsia="Calibri"/>
          <w:i/>
        </w:rPr>
        <w:t>)</w:t>
      </w:r>
    </w:p>
    <w:p w:rsidR="00E8613E" w:rsidRPr="00204B50" w:rsidRDefault="00E8613E" w:rsidP="00E8613E">
      <w:pPr>
        <w:outlineLvl w:val="0"/>
        <w:rPr>
          <w:rFonts w:eastAsia="Calibri"/>
        </w:rPr>
      </w:pPr>
      <w:r w:rsidRPr="00204B50">
        <w:rPr>
          <w:rFonts w:eastAsia="Calibri"/>
        </w:rPr>
        <w:t>Dit vak is in het studiejaar 2013-2014 voor het laatst aangeboden. In het studiejaar 2014-2015 worden twee herkansingen voor het vak aangeboden, in blok 1A en 1B.</w:t>
      </w:r>
    </w:p>
    <w:p w:rsidR="00E8613E" w:rsidRPr="00204B50" w:rsidRDefault="00E8613E" w:rsidP="00E8613E">
      <w:pPr>
        <w:outlineLvl w:val="0"/>
        <w:rPr>
          <w:rFonts w:eastAsia="Calibri"/>
        </w:rPr>
      </w:pPr>
      <w:r w:rsidRPr="00204B50">
        <w:rPr>
          <w:rFonts w:eastAsia="Calibri"/>
        </w:rPr>
        <w:t>Voor dit vak geldt als vervangende onderwijseenheid in het (nieuwe) TOM onderwijsprogramma module Het Individu (15EC).</w:t>
      </w:r>
    </w:p>
    <w:p w:rsidR="00E8613E" w:rsidRPr="00204B50" w:rsidRDefault="00E8613E" w:rsidP="00E8613E">
      <w:pPr>
        <w:outlineLvl w:val="0"/>
        <w:rPr>
          <w:rFonts w:eastAsia="Calibri"/>
          <w:i/>
        </w:rPr>
      </w:pPr>
    </w:p>
    <w:p w:rsidR="00E8613E" w:rsidRPr="00204B50" w:rsidRDefault="00E8613E" w:rsidP="00E8613E">
      <w:pPr>
        <w:outlineLvl w:val="0"/>
        <w:rPr>
          <w:rFonts w:eastAsia="Calibri"/>
          <w:i/>
        </w:rPr>
      </w:pPr>
      <w:r w:rsidRPr="00204B50">
        <w:rPr>
          <w:rFonts w:eastAsia="Calibri"/>
          <w:i/>
        </w:rPr>
        <w:t>Onderzoeksopdracht</w:t>
      </w:r>
      <w:r w:rsidR="00204B50">
        <w:rPr>
          <w:rFonts w:eastAsia="Calibri"/>
          <w:i/>
        </w:rPr>
        <w:t xml:space="preserve"> (</w:t>
      </w:r>
      <w:r w:rsidR="00204B50" w:rsidRPr="00204B50">
        <w:rPr>
          <w:rFonts w:eastAsia="Calibri"/>
          <w:i/>
        </w:rPr>
        <w:t>201000121</w:t>
      </w:r>
      <w:r w:rsidR="00204B50">
        <w:rPr>
          <w:rFonts w:eastAsia="Calibri"/>
          <w:i/>
        </w:rPr>
        <w:t>)</w:t>
      </w:r>
    </w:p>
    <w:p w:rsidR="00E8613E" w:rsidRPr="00204B50" w:rsidRDefault="00E8613E" w:rsidP="00E8613E">
      <w:pPr>
        <w:outlineLvl w:val="0"/>
        <w:rPr>
          <w:rFonts w:eastAsia="Calibri"/>
        </w:rPr>
      </w:pPr>
      <w:r w:rsidRPr="00204B50">
        <w:rPr>
          <w:rFonts w:eastAsia="Calibri"/>
        </w:rPr>
        <w:t>Dit vak is in het studiejaar 2013-2014 voor het laatst aangeboden. In het studiejaar 2014-2015 worden twee herkansingen voor het vak aangeboden. Dit vak wordt afgerond middels een (</w:t>
      </w:r>
      <w:proofErr w:type="spellStart"/>
      <w:r w:rsidRPr="00204B50">
        <w:rPr>
          <w:rFonts w:eastAsia="Calibri"/>
        </w:rPr>
        <w:t>groeps</w:t>
      </w:r>
      <w:proofErr w:type="spellEnd"/>
      <w:r w:rsidRPr="00204B50">
        <w:rPr>
          <w:rFonts w:eastAsia="Calibri"/>
        </w:rPr>
        <w:t>)opdracht. Om deel te nemen aan de herkansing(en) dient de student in 2014-2015 (tijdig) contact op te nemen met de (coördinerend) docent. Meer informatie is te vinden op de ‘oude’ Blackboard pagina van het vak (2013-2014).</w:t>
      </w:r>
    </w:p>
    <w:p w:rsidR="00E8613E" w:rsidRPr="00204B50" w:rsidRDefault="00E8613E" w:rsidP="00E8613E">
      <w:pPr>
        <w:outlineLvl w:val="0"/>
        <w:rPr>
          <w:rFonts w:eastAsia="Calibri"/>
        </w:rPr>
      </w:pPr>
      <w:r w:rsidRPr="00204B50">
        <w:rPr>
          <w:rFonts w:eastAsia="Calibri"/>
        </w:rPr>
        <w:t>Voor dit vak gelden als vervangende onderwijseenheden in het (nieuwe) TOM onderwijsprogramma module Onderzoeksopdracht (15EC).</w:t>
      </w:r>
    </w:p>
    <w:p w:rsidR="00E8613E" w:rsidRPr="00204B50" w:rsidRDefault="00E8613E" w:rsidP="00E8613E">
      <w:pPr>
        <w:outlineLvl w:val="0"/>
        <w:rPr>
          <w:rFonts w:eastAsia="Calibri"/>
        </w:rPr>
      </w:pPr>
    </w:p>
    <w:p w:rsidR="00E8613E" w:rsidRPr="00204B50" w:rsidRDefault="00E8613E" w:rsidP="00E8613E">
      <w:pPr>
        <w:outlineLvl w:val="0"/>
        <w:rPr>
          <w:rFonts w:eastAsia="Calibri"/>
          <w:i/>
        </w:rPr>
      </w:pPr>
      <w:r w:rsidRPr="00204B50">
        <w:rPr>
          <w:rFonts w:eastAsia="Calibri"/>
          <w:i/>
        </w:rPr>
        <w:t>Statistiek 3</w:t>
      </w:r>
      <w:r w:rsidR="00204B50">
        <w:rPr>
          <w:rFonts w:eastAsia="Calibri"/>
          <w:i/>
        </w:rPr>
        <w:t xml:space="preserve"> (</w:t>
      </w:r>
      <w:r w:rsidR="00204B50" w:rsidRPr="00204B50">
        <w:rPr>
          <w:rFonts w:eastAsia="Calibri"/>
          <w:i/>
        </w:rPr>
        <w:t>191962200</w:t>
      </w:r>
      <w:r w:rsidR="00204B50">
        <w:rPr>
          <w:rFonts w:eastAsia="Calibri"/>
          <w:i/>
        </w:rPr>
        <w:t>)</w:t>
      </w:r>
    </w:p>
    <w:p w:rsidR="00E8613E" w:rsidRPr="00204B50" w:rsidRDefault="00E8613E" w:rsidP="00E8613E">
      <w:pPr>
        <w:outlineLvl w:val="0"/>
        <w:rPr>
          <w:rFonts w:eastAsia="Calibri"/>
        </w:rPr>
      </w:pPr>
      <w:r w:rsidRPr="00204B50">
        <w:rPr>
          <w:rFonts w:eastAsia="Calibri"/>
        </w:rPr>
        <w:t>Dit vak is in het studiejaar 2013-2014 voor het laatst aangeboden. In het studiejaar 2014-2015 worden twee herkansingen voor het vak aangeboden, in blok 1B en 2A.</w:t>
      </w:r>
    </w:p>
    <w:p w:rsidR="00E8613E" w:rsidRPr="00204B50" w:rsidRDefault="00E8613E" w:rsidP="00E8613E">
      <w:pPr>
        <w:outlineLvl w:val="0"/>
        <w:rPr>
          <w:rFonts w:eastAsia="Calibri"/>
        </w:rPr>
      </w:pPr>
      <w:r w:rsidRPr="00204B50">
        <w:rPr>
          <w:rFonts w:eastAsia="Calibri"/>
        </w:rPr>
        <w:t>Voor dit vak geldt als vervangende onderwijseenheid in het (nieuwe) TOM onderwijsprogramma module Cognitie en ontwikkeling (15EC).</w:t>
      </w:r>
    </w:p>
    <w:p w:rsidR="00E8613E" w:rsidRPr="00204B50" w:rsidRDefault="00E8613E" w:rsidP="00E8613E">
      <w:pPr>
        <w:outlineLvl w:val="0"/>
        <w:rPr>
          <w:rFonts w:eastAsia="Calibri"/>
          <w:b/>
        </w:rPr>
      </w:pPr>
    </w:p>
    <w:p w:rsidR="00E8613E" w:rsidRPr="00204B50" w:rsidRDefault="00E8613E" w:rsidP="00E8613E">
      <w:pPr>
        <w:outlineLvl w:val="0"/>
        <w:rPr>
          <w:rFonts w:eastAsia="Calibri"/>
          <w:i/>
        </w:rPr>
      </w:pPr>
      <w:r w:rsidRPr="00204B50">
        <w:rPr>
          <w:rFonts w:eastAsia="Calibri"/>
          <w:i/>
        </w:rPr>
        <w:t>Inleiding klinische psychologie</w:t>
      </w:r>
      <w:r w:rsidR="00204B50">
        <w:rPr>
          <w:rFonts w:eastAsia="Calibri"/>
          <w:i/>
        </w:rPr>
        <w:t xml:space="preserve"> (</w:t>
      </w:r>
      <w:r w:rsidR="00204B50" w:rsidRPr="00204B50">
        <w:rPr>
          <w:rFonts w:eastAsia="Calibri"/>
          <w:i/>
        </w:rPr>
        <w:t>201000125</w:t>
      </w:r>
      <w:r w:rsidR="00204B50">
        <w:rPr>
          <w:rFonts w:eastAsia="Calibri"/>
          <w:i/>
        </w:rPr>
        <w:t>)</w:t>
      </w:r>
    </w:p>
    <w:p w:rsidR="00E8613E" w:rsidRPr="00204B50" w:rsidRDefault="00E8613E" w:rsidP="00E8613E">
      <w:pPr>
        <w:outlineLvl w:val="0"/>
        <w:rPr>
          <w:rFonts w:eastAsia="Calibri"/>
        </w:rPr>
      </w:pPr>
      <w:r w:rsidRPr="00204B50">
        <w:rPr>
          <w:rFonts w:eastAsia="Calibri"/>
        </w:rPr>
        <w:t>Dit vak is in het studiejaar 2013-2014 voor het laatst aangeboden. In het studiejaar 2014-2015 worden twee herkansingen voor het vak aangeboden, in blok 1B en 2A.</w:t>
      </w:r>
    </w:p>
    <w:p w:rsidR="00E8613E" w:rsidRPr="00204B50" w:rsidRDefault="00E8613E" w:rsidP="00E8613E">
      <w:pPr>
        <w:outlineLvl w:val="0"/>
        <w:rPr>
          <w:rFonts w:eastAsia="Calibri"/>
        </w:rPr>
      </w:pPr>
      <w:r w:rsidRPr="00204B50">
        <w:rPr>
          <w:rFonts w:eastAsia="Calibri"/>
        </w:rPr>
        <w:t>Voor dit vak geldt als vervangende onderwijseenheid in het (nieuwe) TOM onderwijsprogramma module Het individu (15EC).</w:t>
      </w:r>
    </w:p>
    <w:p w:rsidR="00E8613E" w:rsidRPr="00204B50" w:rsidRDefault="00E8613E" w:rsidP="00E8613E">
      <w:pPr>
        <w:outlineLvl w:val="0"/>
        <w:rPr>
          <w:rFonts w:eastAsia="Calibri"/>
          <w:b/>
        </w:rPr>
      </w:pPr>
    </w:p>
    <w:p w:rsidR="00E8613E" w:rsidRPr="00204B50" w:rsidRDefault="00E8613E" w:rsidP="00E8613E">
      <w:pPr>
        <w:outlineLvl w:val="0"/>
        <w:rPr>
          <w:rFonts w:eastAsia="Calibri"/>
          <w:i/>
        </w:rPr>
      </w:pPr>
      <w:r w:rsidRPr="00204B50">
        <w:rPr>
          <w:rFonts w:eastAsia="Calibri"/>
          <w:i/>
        </w:rPr>
        <w:t>Onderwijspsychologie</w:t>
      </w:r>
      <w:r w:rsidR="00204B50">
        <w:rPr>
          <w:rFonts w:eastAsia="Calibri"/>
          <w:i/>
        </w:rPr>
        <w:t xml:space="preserve"> (</w:t>
      </w:r>
      <w:r w:rsidR="00204B50" w:rsidRPr="00204B50">
        <w:rPr>
          <w:rFonts w:eastAsia="Calibri"/>
          <w:i/>
        </w:rPr>
        <w:t>201000124</w:t>
      </w:r>
      <w:r w:rsidR="00204B50">
        <w:rPr>
          <w:rFonts w:eastAsia="Calibri"/>
          <w:i/>
        </w:rPr>
        <w:t>)</w:t>
      </w:r>
    </w:p>
    <w:p w:rsidR="00E8613E" w:rsidRPr="00204B50" w:rsidRDefault="00E8613E" w:rsidP="00E8613E">
      <w:pPr>
        <w:outlineLvl w:val="0"/>
        <w:rPr>
          <w:rFonts w:eastAsia="Calibri"/>
        </w:rPr>
      </w:pPr>
      <w:r w:rsidRPr="00204B50">
        <w:rPr>
          <w:rFonts w:eastAsia="Calibri"/>
        </w:rPr>
        <w:t>Dit vak is in het studiejaar 2013-2014 voor het laatst aangeboden. In het studiejaar 2014-2015 worden twee herkansingen voor het vak aangeboden, in blok 1B en 2A.</w:t>
      </w:r>
    </w:p>
    <w:p w:rsidR="00E8613E" w:rsidRPr="00204B50" w:rsidRDefault="00E8613E" w:rsidP="00E8613E">
      <w:pPr>
        <w:outlineLvl w:val="0"/>
        <w:rPr>
          <w:rFonts w:eastAsia="Calibri"/>
        </w:rPr>
      </w:pPr>
      <w:r w:rsidRPr="00204B50">
        <w:rPr>
          <w:rFonts w:eastAsia="Calibri"/>
        </w:rPr>
        <w:t xml:space="preserve">Voor dit vak geldt als vervangende onderwijseenheid in het (nieuwe) TOM onderwijsprogramma module </w:t>
      </w:r>
      <w:proofErr w:type="spellStart"/>
      <w:r w:rsidRPr="00204B50">
        <w:rPr>
          <w:rFonts w:eastAsia="Calibri"/>
        </w:rPr>
        <w:t>Psychology</w:t>
      </w:r>
      <w:proofErr w:type="spellEnd"/>
      <w:r w:rsidRPr="00204B50">
        <w:rPr>
          <w:rFonts w:eastAsia="Calibri"/>
        </w:rPr>
        <w:t xml:space="preserve"> of Learning &amp; </w:t>
      </w:r>
      <w:proofErr w:type="spellStart"/>
      <w:r w:rsidRPr="00204B50">
        <w:rPr>
          <w:rFonts w:eastAsia="Calibri"/>
        </w:rPr>
        <w:t>Instruction</w:t>
      </w:r>
      <w:proofErr w:type="spellEnd"/>
      <w:r w:rsidRPr="00204B50">
        <w:rPr>
          <w:rFonts w:eastAsia="Calibri"/>
        </w:rPr>
        <w:t xml:space="preserve"> (15EC).</w:t>
      </w:r>
    </w:p>
    <w:p w:rsidR="00E8613E" w:rsidRPr="00204B50" w:rsidRDefault="00E8613E" w:rsidP="00E8613E">
      <w:pPr>
        <w:outlineLvl w:val="0"/>
        <w:rPr>
          <w:rFonts w:eastAsia="Calibri"/>
          <w:b/>
        </w:rPr>
      </w:pPr>
    </w:p>
    <w:p w:rsidR="00947239" w:rsidRDefault="00E8613E" w:rsidP="00E8613E">
      <w:pPr>
        <w:outlineLvl w:val="0"/>
        <w:rPr>
          <w:rFonts w:eastAsia="Calibri"/>
          <w:i/>
        </w:rPr>
      </w:pPr>
      <w:r w:rsidRPr="00204B50">
        <w:rPr>
          <w:rFonts w:eastAsia="Calibri"/>
          <w:i/>
        </w:rPr>
        <w:t>Kwalitatief onderzoek</w:t>
      </w:r>
      <w:r w:rsidR="00204B50">
        <w:rPr>
          <w:rFonts w:eastAsia="Calibri"/>
          <w:i/>
        </w:rPr>
        <w:t xml:space="preserve"> </w:t>
      </w:r>
      <w:r w:rsidR="00947239">
        <w:rPr>
          <w:rFonts w:eastAsia="Calibri"/>
          <w:i/>
        </w:rPr>
        <w:t>(</w:t>
      </w:r>
      <w:r w:rsidR="00204B50" w:rsidRPr="00204B50">
        <w:rPr>
          <w:rFonts w:eastAsia="Calibri"/>
          <w:i/>
        </w:rPr>
        <w:t>192962020</w:t>
      </w:r>
      <w:r w:rsidR="00947239">
        <w:rPr>
          <w:rFonts w:eastAsia="Calibri"/>
          <w:i/>
        </w:rPr>
        <w:t>)</w:t>
      </w:r>
    </w:p>
    <w:p w:rsidR="00E8613E" w:rsidRPr="00204B50" w:rsidRDefault="00E8613E" w:rsidP="00E8613E">
      <w:pPr>
        <w:outlineLvl w:val="0"/>
        <w:rPr>
          <w:rFonts w:eastAsia="Calibri"/>
        </w:rPr>
      </w:pPr>
      <w:r w:rsidRPr="00204B50">
        <w:rPr>
          <w:rFonts w:eastAsia="Calibri"/>
        </w:rPr>
        <w:lastRenderedPageBreak/>
        <w:t>Dit vak is in het studiejaar 2013-2014 voor het laatst aangeboden. In het studiejaar 2014-2015 worden twee herkansingen voor het vak aangeboden, in blok 2A en 2B.</w:t>
      </w:r>
    </w:p>
    <w:p w:rsidR="00E8613E" w:rsidRPr="00204B50" w:rsidRDefault="00E8613E" w:rsidP="00E8613E">
      <w:pPr>
        <w:outlineLvl w:val="0"/>
        <w:rPr>
          <w:rFonts w:eastAsia="Calibri"/>
        </w:rPr>
      </w:pPr>
      <w:r w:rsidRPr="00204B50">
        <w:rPr>
          <w:rFonts w:eastAsia="Calibri"/>
        </w:rPr>
        <w:t>Voor dit vak geldt als vervangende onderwijseenheid in het (nieuwe) TOM onderwijsprogramma module Het individu (15EC) + module Onderzoeksopdracht (15EC).</w:t>
      </w:r>
    </w:p>
    <w:p w:rsidR="00E8613E" w:rsidRPr="00204B50" w:rsidRDefault="00E8613E" w:rsidP="00E8613E">
      <w:pPr>
        <w:outlineLvl w:val="0"/>
        <w:rPr>
          <w:rFonts w:eastAsia="Calibri"/>
          <w:i/>
        </w:rPr>
      </w:pPr>
    </w:p>
    <w:p w:rsidR="00E8613E" w:rsidRPr="00204B50" w:rsidRDefault="00E8613E" w:rsidP="00E8613E">
      <w:pPr>
        <w:outlineLvl w:val="0"/>
        <w:rPr>
          <w:rFonts w:eastAsia="Calibri"/>
          <w:i/>
        </w:rPr>
      </w:pPr>
      <w:r w:rsidRPr="00204B50">
        <w:rPr>
          <w:rFonts w:eastAsia="Calibri"/>
          <w:i/>
        </w:rPr>
        <w:t>Inleiding gezondheidspsychologie</w:t>
      </w:r>
      <w:r w:rsidR="00947239">
        <w:rPr>
          <w:rFonts w:eastAsia="Calibri"/>
          <w:i/>
        </w:rPr>
        <w:t xml:space="preserve"> (</w:t>
      </w:r>
      <w:r w:rsidR="00947239" w:rsidRPr="00947239">
        <w:rPr>
          <w:rFonts w:eastAsia="Calibri"/>
          <w:i/>
        </w:rPr>
        <w:t>201000127</w:t>
      </w:r>
      <w:r w:rsidR="00947239">
        <w:rPr>
          <w:rFonts w:eastAsia="Calibri"/>
          <w:i/>
        </w:rPr>
        <w:t>)</w:t>
      </w:r>
    </w:p>
    <w:p w:rsidR="00E8613E" w:rsidRPr="00204B50" w:rsidRDefault="00E8613E" w:rsidP="00E8613E">
      <w:pPr>
        <w:outlineLvl w:val="0"/>
        <w:rPr>
          <w:rFonts w:eastAsia="Calibri"/>
        </w:rPr>
      </w:pPr>
      <w:r w:rsidRPr="00204B50">
        <w:rPr>
          <w:rFonts w:eastAsia="Calibri"/>
        </w:rPr>
        <w:t>Dit vak is in het studiejaar 2013-2014 voor het laatst aangeboden. In het studiejaar 2014-2015 worden twee herkansingen voor het vak aangeboden, in blok 2A en 2B.</w:t>
      </w:r>
    </w:p>
    <w:p w:rsidR="00E8613E" w:rsidRPr="00204B50" w:rsidRDefault="00E8613E" w:rsidP="00E8613E">
      <w:pPr>
        <w:outlineLvl w:val="0"/>
        <w:rPr>
          <w:rFonts w:eastAsia="Calibri"/>
        </w:rPr>
      </w:pPr>
      <w:r w:rsidRPr="00204B50">
        <w:rPr>
          <w:rFonts w:eastAsia="Calibri"/>
        </w:rPr>
        <w:t xml:space="preserve">Voor dit vak geldt als vervangende onderwijseenheid in het (nieuwe) TOM onderwijsprogramma module Health </w:t>
      </w:r>
      <w:proofErr w:type="spellStart"/>
      <w:r w:rsidRPr="00204B50">
        <w:rPr>
          <w:rFonts w:eastAsia="Calibri"/>
        </w:rPr>
        <w:t>Psychology</w:t>
      </w:r>
      <w:proofErr w:type="spellEnd"/>
      <w:r w:rsidRPr="00204B50">
        <w:rPr>
          <w:rFonts w:eastAsia="Calibri"/>
        </w:rPr>
        <w:t xml:space="preserve"> &amp; </w:t>
      </w:r>
      <w:proofErr w:type="spellStart"/>
      <w:r w:rsidRPr="00204B50">
        <w:rPr>
          <w:rFonts w:eastAsia="Calibri"/>
        </w:rPr>
        <w:t>Applied</w:t>
      </w:r>
      <w:proofErr w:type="spellEnd"/>
      <w:r w:rsidRPr="00204B50">
        <w:rPr>
          <w:rFonts w:eastAsia="Calibri"/>
        </w:rPr>
        <w:t xml:space="preserve"> Technology (15EC).</w:t>
      </w:r>
    </w:p>
    <w:p w:rsidR="00E8613E" w:rsidRPr="00204B50" w:rsidRDefault="00E8613E" w:rsidP="00E8613E">
      <w:pPr>
        <w:outlineLvl w:val="0"/>
        <w:rPr>
          <w:rFonts w:eastAsia="Calibri"/>
          <w:i/>
        </w:rPr>
      </w:pPr>
    </w:p>
    <w:p w:rsidR="00E8613E" w:rsidRPr="00204B50" w:rsidRDefault="00E8613E" w:rsidP="00E8613E">
      <w:pPr>
        <w:outlineLvl w:val="0"/>
        <w:rPr>
          <w:rFonts w:eastAsia="Calibri"/>
          <w:i/>
        </w:rPr>
      </w:pPr>
      <w:r w:rsidRPr="00204B50">
        <w:rPr>
          <w:rFonts w:eastAsia="Calibri"/>
          <w:i/>
        </w:rPr>
        <w:t>Psychologische gespreksvoering</w:t>
      </w:r>
      <w:r w:rsidR="00947239">
        <w:rPr>
          <w:rFonts w:eastAsia="Calibri"/>
          <w:i/>
        </w:rPr>
        <w:t xml:space="preserve"> (</w:t>
      </w:r>
      <w:r w:rsidR="00947239" w:rsidRPr="00947239">
        <w:rPr>
          <w:rFonts w:eastAsia="Calibri"/>
          <w:i/>
        </w:rPr>
        <w:t>201000126</w:t>
      </w:r>
      <w:r w:rsidR="00947239">
        <w:rPr>
          <w:rFonts w:eastAsia="Calibri"/>
          <w:i/>
        </w:rPr>
        <w:t>)</w:t>
      </w:r>
    </w:p>
    <w:p w:rsidR="00E8613E" w:rsidRPr="00204B50" w:rsidRDefault="00E8613E" w:rsidP="00E8613E">
      <w:pPr>
        <w:outlineLvl w:val="0"/>
        <w:rPr>
          <w:rFonts w:eastAsia="Calibri"/>
        </w:rPr>
      </w:pPr>
      <w:r w:rsidRPr="00204B50">
        <w:rPr>
          <w:rFonts w:eastAsia="Calibri"/>
        </w:rPr>
        <w:t>Dit vak is in het studiejaar 2013-2014 voor het laatst aangeboden. In het studiejaar 2014-2015 worden twee herkansingen voor het vak aangeboden (blok 2A en 2B). Dit vak wordt o.a. afgerond middels praktische vaardigheden en opdrachten. Om deel te nemen aan de herkansing(en) dient de student in 2014-2015 (tijdig) contact op te nemen met de (coördinerend) docent. Meer informatie is te vinden op de ‘oude’ Blackboard pagina van het vak (2013-2014).</w:t>
      </w:r>
    </w:p>
    <w:p w:rsidR="00E8613E" w:rsidRPr="00204B50" w:rsidRDefault="00E8613E" w:rsidP="00E8613E">
      <w:pPr>
        <w:outlineLvl w:val="0"/>
        <w:rPr>
          <w:rFonts w:eastAsia="Calibri"/>
        </w:rPr>
      </w:pPr>
      <w:r w:rsidRPr="00204B50">
        <w:rPr>
          <w:rFonts w:eastAsia="Calibri"/>
        </w:rPr>
        <w:t>Voor dit vak gelden als vervangende onderwijseenheden in het (nieuwe) TOM onderwijsprogramma module Professionele vaardigheden (15EC).</w:t>
      </w:r>
    </w:p>
    <w:p w:rsidR="00E8613E" w:rsidRPr="00204B50" w:rsidRDefault="00E8613E" w:rsidP="00E8613E">
      <w:pPr>
        <w:outlineLvl w:val="0"/>
        <w:rPr>
          <w:rFonts w:eastAsia="Calibri"/>
          <w:i/>
        </w:rPr>
      </w:pPr>
    </w:p>
    <w:p w:rsidR="00E8613E" w:rsidRPr="00204B50" w:rsidRDefault="00E8613E" w:rsidP="00E8613E">
      <w:pPr>
        <w:outlineLvl w:val="0"/>
        <w:rPr>
          <w:rFonts w:eastAsia="Calibri"/>
          <w:i/>
        </w:rPr>
      </w:pPr>
      <w:r w:rsidRPr="00204B50">
        <w:rPr>
          <w:rFonts w:eastAsia="Calibri"/>
          <w:i/>
        </w:rPr>
        <w:t>Onderzoeksopzet en data-analyse in psychologisch onderzoek</w:t>
      </w:r>
      <w:r w:rsidR="00947239">
        <w:rPr>
          <w:rFonts w:eastAsia="Calibri"/>
          <w:i/>
        </w:rPr>
        <w:t xml:space="preserve"> (</w:t>
      </w:r>
      <w:r w:rsidR="00947239" w:rsidRPr="00947239">
        <w:rPr>
          <w:rFonts w:eastAsia="Calibri"/>
          <w:i/>
        </w:rPr>
        <w:t>201000128</w:t>
      </w:r>
      <w:r w:rsidR="00947239">
        <w:rPr>
          <w:rFonts w:eastAsia="Calibri"/>
          <w:i/>
        </w:rPr>
        <w:t>)</w:t>
      </w:r>
    </w:p>
    <w:p w:rsidR="00E8613E" w:rsidRPr="00204B50" w:rsidRDefault="00E8613E" w:rsidP="00E8613E">
      <w:pPr>
        <w:outlineLvl w:val="0"/>
        <w:rPr>
          <w:rFonts w:eastAsia="Calibri"/>
        </w:rPr>
      </w:pPr>
      <w:r w:rsidRPr="00204B50">
        <w:rPr>
          <w:rFonts w:eastAsia="Calibri"/>
        </w:rPr>
        <w:t>Dit vak is in het studiejaar 2013-2014 voor het laatst aangeboden. In het studiejaar 2014-2015 worden twee herkansingen voor het vak aangeboden, in blok 2B en 3B (zomerperiode).</w:t>
      </w:r>
    </w:p>
    <w:p w:rsidR="00E8613E" w:rsidRPr="00204B50" w:rsidRDefault="00E8613E" w:rsidP="00E8613E">
      <w:pPr>
        <w:outlineLvl w:val="0"/>
        <w:rPr>
          <w:rFonts w:eastAsia="Calibri"/>
        </w:rPr>
      </w:pPr>
      <w:r w:rsidRPr="00204B50">
        <w:rPr>
          <w:rFonts w:eastAsia="Calibri"/>
        </w:rPr>
        <w:t>Voor dit vak geldt als vervangende onderwijseenheid in het (nieuwe) TOM onderwijsprogramma module Onderzoeksopdracht (15EC).</w:t>
      </w:r>
    </w:p>
    <w:p w:rsidR="00E8613E" w:rsidRPr="00204B50" w:rsidRDefault="00E8613E" w:rsidP="00E8613E">
      <w:pPr>
        <w:outlineLvl w:val="0"/>
        <w:rPr>
          <w:rFonts w:eastAsia="Calibri"/>
          <w:i/>
        </w:rPr>
      </w:pPr>
    </w:p>
    <w:p w:rsidR="00E8613E" w:rsidRPr="00204B50" w:rsidRDefault="00E8613E" w:rsidP="00E8613E">
      <w:pPr>
        <w:outlineLvl w:val="0"/>
        <w:rPr>
          <w:rFonts w:eastAsia="Calibri"/>
          <w:i/>
        </w:rPr>
      </w:pPr>
      <w:r w:rsidRPr="00204B50">
        <w:rPr>
          <w:rFonts w:eastAsia="Calibri"/>
          <w:i/>
        </w:rPr>
        <w:t>Verdieping human factors</w:t>
      </w:r>
      <w:r w:rsidR="00947239">
        <w:rPr>
          <w:rFonts w:eastAsia="Calibri"/>
          <w:i/>
        </w:rPr>
        <w:t xml:space="preserve"> (</w:t>
      </w:r>
      <w:r w:rsidR="00947239" w:rsidRPr="00947239">
        <w:rPr>
          <w:rFonts w:eastAsia="Calibri"/>
          <w:i/>
        </w:rPr>
        <w:t>201100121</w:t>
      </w:r>
      <w:r w:rsidR="00947239">
        <w:rPr>
          <w:rFonts w:eastAsia="Calibri"/>
          <w:i/>
        </w:rPr>
        <w:t>)</w:t>
      </w:r>
    </w:p>
    <w:p w:rsidR="00E8613E" w:rsidRPr="00204B50" w:rsidRDefault="00E8613E" w:rsidP="00E8613E">
      <w:pPr>
        <w:outlineLvl w:val="0"/>
        <w:rPr>
          <w:rFonts w:eastAsia="Calibri"/>
        </w:rPr>
      </w:pPr>
      <w:r w:rsidRPr="00204B50">
        <w:rPr>
          <w:rFonts w:eastAsia="Calibri"/>
        </w:rPr>
        <w:t>Dit vak is in het studiejaar 2013-2014 voor het laatst aangeboden. In het studiejaar 2014-2015 worden twee herkansingen voor het vak aangeboden, in blok 2B en 3B (zomerperiode).</w:t>
      </w:r>
    </w:p>
    <w:p w:rsidR="00E8613E" w:rsidRPr="00204B50" w:rsidRDefault="00E8613E" w:rsidP="00E8613E">
      <w:pPr>
        <w:outlineLvl w:val="0"/>
        <w:rPr>
          <w:rFonts w:eastAsia="Calibri"/>
        </w:rPr>
      </w:pPr>
      <w:r w:rsidRPr="00204B50">
        <w:rPr>
          <w:rFonts w:eastAsia="Calibri"/>
        </w:rPr>
        <w:t>Voor dit vak geldt als vervangende onderwijseenheid in het (nieuwe) TOM onderwijsprogramma module Human Factors &amp; Engineering (15EC).</w:t>
      </w:r>
    </w:p>
    <w:p w:rsidR="00E8613E" w:rsidRPr="00204B50" w:rsidRDefault="00E8613E" w:rsidP="00E8613E">
      <w:pPr>
        <w:outlineLvl w:val="0"/>
        <w:rPr>
          <w:rFonts w:eastAsia="Calibri"/>
          <w:i/>
        </w:rPr>
      </w:pPr>
    </w:p>
    <w:p w:rsidR="00E8613E" w:rsidRPr="00204B50" w:rsidRDefault="00E8613E" w:rsidP="00E8613E">
      <w:pPr>
        <w:outlineLvl w:val="0"/>
        <w:rPr>
          <w:rFonts w:eastAsia="Calibri"/>
          <w:i/>
        </w:rPr>
      </w:pPr>
      <w:r w:rsidRPr="00204B50">
        <w:rPr>
          <w:rFonts w:eastAsia="Calibri"/>
          <w:i/>
        </w:rPr>
        <w:t>Psychologie, Technologie en Veiligheid</w:t>
      </w:r>
      <w:r w:rsidR="00947239">
        <w:rPr>
          <w:rFonts w:eastAsia="Calibri"/>
          <w:i/>
        </w:rPr>
        <w:t xml:space="preserve"> (</w:t>
      </w:r>
      <w:r w:rsidR="00947239" w:rsidRPr="00947239">
        <w:rPr>
          <w:rFonts w:eastAsia="Calibri"/>
          <w:i/>
        </w:rPr>
        <w:t>201100124</w:t>
      </w:r>
      <w:r w:rsidR="00947239">
        <w:rPr>
          <w:rFonts w:eastAsia="Calibri"/>
          <w:i/>
        </w:rPr>
        <w:t>)</w:t>
      </w:r>
    </w:p>
    <w:p w:rsidR="00E8613E" w:rsidRPr="00204B50" w:rsidRDefault="00E8613E" w:rsidP="00E8613E">
      <w:pPr>
        <w:outlineLvl w:val="0"/>
        <w:rPr>
          <w:rFonts w:eastAsia="Calibri"/>
        </w:rPr>
      </w:pPr>
      <w:r w:rsidRPr="00204B50">
        <w:rPr>
          <w:rFonts w:eastAsia="Calibri"/>
        </w:rPr>
        <w:t>Dit vak is in het studiejaar 2013-2014 voor het laatst aangeboden. In het studiejaar 2014-2015 worden twee herkansingen voor het vak aangeboden, in blok 2B en 3B (zomerperiode).</w:t>
      </w:r>
    </w:p>
    <w:p w:rsidR="00E8613E" w:rsidRPr="00204B50" w:rsidRDefault="00E8613E" w:rsidP="00E8613E">
      <w:pPr>
        <w:outlineLvl w:val="0"/>
        <w:rPr>
          <w:rFonts w:eastAsia="Calibri"/>
        </w:rPr>
      </w:pPr>
      <w:r w:rsidRPr="00204B50">
        <w:rPr>
          <w:rFonts w:eastAsia="Calibri"/>
        </w:rPr>
        <w:t xml:space="preserve">Voor dit vak geldt als vervangende onderwijseenheid in het (nieuwe) TOM onderwijsprogramma module </w:t>
      </w:r>
      <w:proofErr w:type="spellStart"/>
      <w:r w:rsidRPr="00204B50">
        <w:rPr>
          <w:rFonts w:eastAsia="Calibri"/>
        </w:rPr>
        <w:t>Psychology</w:t>
      </w:r>
      <w:proofErr w:type="spellEnd"/>
      <w:r w:rsidRPr="00204B50">
        <w:rPr>
          <w:rFonts w:eastAsia="Calibri"/>
        </w:rPr>
        <w:t xml:space="preserve"> of Safety (15EC).</w:t>
      </w:r>
    </w:p>
    <w:p w:rsidR="00E8613E" w:rsidRPr="00204B50" w:rsidRDefault="00E8613E" w:rsidP="00E8613E">
      <w:pPr>
        <w:outlineLvl w:val="0"/>
        <w:rPr>
          <w:rFonts w:eastAsia="Calibri"/>
          <w:b/>
          <w:i/>
        </w:rPr>
      </w:pPr>
    </w:p>
    <w:p w:rsidR="00E8613E" w:rsidRPr="00204B50" w:rsidRDefault="00E8613E" w:rsidP="00E8613E">
      <w:pPr>
        <w:outlineLvl w:val="0"/>
        <w:rPr>
          <w:rFonts w:eastAsia="Calibri"/>
          <w:i/>
        </w:rPr>
      </w:pPr>
      <w:r w:rsidRPr="00204B50">
        <w:rPr>
          <w:rFonts w:eastAsia="Calibri"/>
          <w:i/>
        </w:rPr>
        <w:t>Onbewuste processen en gezondheidsgedrag</w:t>
      </w:r>
      <w:r w:rsidR="00947239">
        <w:rPr>
          <w:rFonts w:eastAsia="Calibri"/>
          <w:i/>
        </w:rPr>
        <w:t xml:space="preserve"> (</w:t>
      </w:r>
      <w:r w:rsidR="00947239" w:rsidRPr="00947239">
        <w:rPr>
          <w:rFonts w:eastAsia="Calibri"/>
          <w:i/>
        </w:rPr>
        <w:t>20100013</w:t>
      </w:r>
      <w:r w:rsidR="00947239">
        <w:rPr>
          <w:rFonts w:eastAsia="Calibri"/>
          <w:i/>
        </w:rPr>
        <w:t>0)</w:t>
      </w:r>
    </w:p>
    <w:p w:rsidR="00E8613E" w:rsidRPr="00204B50" w:rsidRDefault="00E8613E" w:rsidP="00E8613E">
      <w:pPr>
        <w:outlineLvl w:val="0"/>
        <w:rPr>
          <w:rFonts w:eastAsia="Calibri"/>
        </w:rPr>
      </w:pPr>
      <w:r w:rsidRPr="00204B50">
        <w:rPr>
          <w:rFonts w:eastAsia="Calibri"/>
        </w:rPr>
        <w:t>Dit vak is in het studiejaar 2013-2014 voor het laatst aangeboden. In het studiejaar 2014-2015 worden twee herkansingen voor het vak aangeboden, in blok 2B en 3B (zomerperiode).</w:t>
      </w:r>
    </w:p>
    <w:p w:rsidR="00E8613E" w:rsidRPr="00204B50" w:rsidRDefault="00E8613E" w:rsidP="00E8613E">
      <w:pPr>
        <w:outlineLvl w:val="0"/>
        <w:rPr>
          <w:rFonts w:eastAsia="Calibri"/>
        </w:rPr>
      </w:pPr>
      <w:r w:rsidRPr="00204B50">
        <w:rPr>
          <w:rFonts w:eastAsia="Calibri"/>
        </w:rPr>
        <w:t xml:space="preserve">Voor dit vak geldt als vervangende onderwijseenheid in het (nieuwe) TOM onderwijsprogramma module Health </w:t>
      </w:r>
      <w:proofErr w:type="spellStart"/>
      <w:r w:rsidRPr="00204B50">
        <w:rPr>
          <w:rFonts w:eastAsia="Calibri"/>
        </w:rPr>
        <w:t>Psychology</w:t>
      </w:r>
      <w:proofErr w:type="spellEnd"/>
      <w:r w:rsidRPr="00204B50">
        <w:rPr>
          <w:rFonts w:eastAsia="Calibri"/>
        </w:rPr>
        <w:t xml:space="preserve"> &amp; </w:t>
      </w:r>
      <w:proofErr w:type="spellStart"/>
      <w:r w:rsidRPr="00204B50">
        <w:rPr>
          <w:rFonts w:eastAsia="Calibri"/>
        </w:rPr>
        <w:t>Applied</w:t>
      </w:r>
      <w:proofErr w:type="spellEnd"/>
      <w:r w:rsidRPr="00204B50">
        <w:rPr>
          <w:rFonts w:eastAsia="Calibri"/>
        </w:rPr>
        <w:t xml:space="preserve"> Technology (15EC).</w:t>
      </w:r>
    </w:p>
    <w:p w:rsidR="00E8613E" w:rsidRPr="00204B50" w:rsidRDefault="00E8613E" w:rsidP="00E8613E">
      <w:pPr>
        <w:outlineLvl w:val="0"/>
        <w:rPr>
          <w:rFonts w:eastAsia="Calibri"/>
          <w:b/>
          <w:i/>
        </w:rPr>
      </w:pPr>
    </w:p>
    <w:p w:rsidR="00E8613E" w:rsidRPr="00204B50" w:rsidRDefault="00E8613E" w:rsidP="00E8613E">
      <w:pPr>
        <w:outlineLvl w:val="0"/>
        <w:rPr>
          <w:rFonts w:eastAsia="Calibri"/>
          <w:i/>
        </w:rPr>
      </w:pPr>
      <w:r w:rsidRPr="00204B50">
        <w:rPr>
          <w:rFonts w:eastAsia="Calibri"/>
          <w:i/>
        </w:rPr>
        <w:t>Leren bij kinderen en adolescenten</w:t>
      </w:r>
      <w:r w:rsidR="00947239">
        <w:rPr>
          <w:rFonts w:eastAsia="Calibri"/>
          <w:i/>
        </w:rPr>
        <w:t xml:space="preserve"> (</w:t>
      </w:r>
      <w:r w:rsidR="00947239" w:rsidRPr="00947239">
        <w:rPr>
          <w:rFonts w:eastAsia="Calibri"/>
          <w:i/>
        </w:rPr>
        <w:t>192913080</w:t>
      </w:r>
      <w:r w:rsidR="00947239">
        <w:rPr>
          <w:rFonts w:eastAsia="Calibri"/>
          <w:i/>
        </w:rPr>
        <w:t>)</w:t>
      </w:r>
    </w:p>
    <w:p w:rsidR="00E8613E" w:rsidRPr="00204B50" w:rsidRDefault="00E8613E" w:rsidP="00E8613E">
      <w:pPr>
        <w:outlineLvl w:val="0"/>
        <w:rPr>
          <w:rFonts w:eastAsia="Calibri"/>
        </w:rPr>
      </w:pPr>
      <w:r w:rsidRPr="00204B50">
        <w:rPr>
          <w:rFonts w:eastAsia="Calibri"/>
        </w:rPr>
        <w:t>Dit vak is in het studiejaar 2013-2014 voor het laatst aangeboden. In het studiejaar 2014-2015 worden twee herkansingen voor het vak aangeboden, in blok 2B en 3B (zomerperiode).</w:t>
      </w:r>
    </w:p>
    <w:p w:rsidR="00E8613E" w:rsidRDefault="00E8613E" w:rsidP="00E8613E">
      <w:pPr>
        <w:outlineLvl w:val="0"/>
        <w:rPr>
          <w:rFonts w:eastAsia="Calibri"/>
        </w:rPr>
      </w:pPr>
      <w:r w:rsidRPr="00204B50">
        <w:rPr>
          <w:rFonts w:eastAsia="Calibri"/>
        </w:rPr>
        <w:t xml:space="preserve">Voor dit vak geldt als vervangende onderwijseenheid in het (nieuwe) TOM onderwijsprogramma module </w:t>
      </w:r>
      <w:proofErr w:type="spellStart"/>
      <w:r w:rsidRPr="00204B50">
        <w:rPr>
          <w:rFonts w:eastAsia="Calibri"/>
        </w:rPr>
        <w:t>Psychology</w:t>
      </w:r>
      <w:proofErr w:type="spellEnd"/>
      <w:r w:rsidRPr="00204B50">
        <w:rPr>
          <w:rFonts w:eastAsia="Calibri"/>
        </w:rPr>
        <w:t xml:space="preserve"> of Learning &amp; </w:t>
      </w:r>
      <w:proofErr w:type="spellStart"/>
      <w:r w:rsidRPr="00204B50">
        <w:rPr>
          <w:rFonts w:eastAsia="Calibri"/>
        </w:rPr>
        <w:t>Instruction</w:t>
      </w:r>
      <w:proofErr w:type="spellEnd"/>
      <w:r w:rsidRPr="00204B50">
        <w:rPr>
          <w:rFonts w:eastAsia="Calibri"/>
        </w:rPr>
        <w:t xml:space="preserve"> (15EC).</w:t>
      </w:r>
    </w:p>
    <w:p w:rsidR="00C27CAD" w:rsidRDefault="00C27CAD" w:rsidP="00E8613E">
      <w:pPr>
        <w:outlineLvl w:val="0"/>
        <w:rPr>
          <w:rFonts w:eastAsia="Calibri"/>
        </w:rPr>
      </w:pPr>
    </w:p>
    <w:p w:rsidR="00C27CAD" w:rsidRPr="00204B50" w:rsidRDefault="00C27CAD" w:rsidP="00C27CAD">
      <w:pPr>
        <w:outlineLvl w:val="0"/>
        <w:rPr>
          <w:rFonts w:eastAsia="Calibri"/>
          <w:i/>
        </w:rPr>
      </w:pPr>
      <w:r w:rsidRPr="00204B50">
        <w:rPr>
          <w:rFonts w:eastAsia="Calibri"/>
          <w:i/>
        </w:rPr>
        <w:lastRenderedPageBreak/>
        <w:t>Narratieve psychologie</w:t>
      </w:r>
      <w:r>
        <w:rPr>
          <w:rFonts w:eastAsia="Calibri"/>
          <w:i/>
        </w:rPr>
        <w:t xml:space="preserve"> (</w:t>
      </w:r>
      <w:r w:rsidRPr="00947239">
        <w:rPr>
          <w:rFonts w:eastAsia="Calibri"/>
          <w:i/>
        </w:rPr>
        <w:t>201000129</w:t>
      </w:r>
      <w:r>
        <w:rPr>
          <w:rFonts w:eastAsia="Calibri"/>
          <w:i/>
        </w:rPr>
        <w:t>)</w:t>
      </w:r>
    </w:p>
    <w:p w:rsidR="00C27CAD" w:rsidRPr="00204B50" w:rsidRDefault="00C27CAD" w:rsidP="00C27CAD">
      <w:pPr>
        <w:outlineLvl w:val="0"/>
        <w:rPr>
          <w:rFonts w:eastAsia="Calibri"/>
        </w:rPr>
      </w:pPr>
      <w:r w:rsidRPr="00204B50">
        <w:rPr>
          <w:rFonts w:eastAsia="Calibri"/>
        </w:rPr>
        <w:t>Dit vak is in het studiejaar 2013-2014 voor het laatst aangeboden. In het studiejaar 2014-2015 worden twee herkansingen voor het vak aangeboden (blok 2B en 3B (zomerperiode)). Dit vak wordt afgerond middels opdrachten. Om deel te nemen aan de herkansing(en) dient de student in 2014-2015 (tijdig) contact op te nemen met de (coördinerend) docent. Meer informatie is te vinden op de ‘oude’ Blackboard pagina van het vak (2013-2014).</w:t>
      </w:r>
    </w:p>
    <w:p w:rsidR="00C27CAD" w:rsidRPr="00204B50" w:rsidRDefault="00C27CAD" w:rsidP="00C27CAD">
      <w:pPr>
        <w:outlineLvl w:val="0"/>
        <w:rPr>
          <w:rFonts w:eastAsia="Calibri"/>
        </w:rPr>
      </w:pPr>
      <w:r w:rsidRPr="00204B50">
        <w:rPr>
          <w:rFonts w:eastAsia="Calibri"/>
        </w:rPr>
        <w:t>Voor dit vak geldt als vervangende onderwijseenheid in het (nieuwe) TOM onderwijsprogramma module Psychische gezondheid (15EC).</w:t>
      </w:r>
    </w:p>
    <w:sectPr w:rsidR="00C27CAD" w:rsidRPr="00204B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C24CF"/>
    <w:multiLevelType w:val="hybridMultilevel"/>
    <w:tmpl w:val="D74656D2"/>
    <w:lvl w:ilvl="0" w:tplc="318639D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DD6437B"/>
    <w:multiLevelType w:val="hybridMultilevel"/>
    <w:tmpl w:val="8460FAA2"/>
    <w:lvl w:ilvl="0" w:tplc="CC7A0E80">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13E"/>
    <w:rsid w:val="0008041B"/>
    <w:rsid w:val="001F6B8A"/>
    <w:rsid w:val="00204B50"/>
    <w:rsid w:val="00260068"/>
    <w:rsid w:val="002A5F83"/>
    <w:rsid w:val="003D6E96"/>
    <w:rsid w:val="004A2929"/>
    <w:rsid w:val="007513F7"/>
    <w:rsid w:val="008862A6"/>
    <w:rsid w:val="00892587"/>
    <w:rsid w:val="00920702"/>
    <w:rsid w:val="00947239"/>
    <w:rsid w:val="00B3790A"/>
    <w:rsid w:val="00B54EFA"/>
    <w:rsid w:val="00C27CAD"/>
    <w:rsid w:val="00C62434"/>
    <w:rsid w:val="00DB292B"/>
    <w:rsid w:val="00E8613E"/>
    <w:rsid w:val="00FA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13E"/>
    <w:pPr>
      <w:spacing w:after="0" w:line="240" w:lineRule="auto"/>
    </w:pPr>
    <w:rPr>
      <w:rFonts w:ascii="Arial" w:eastAsia="Times New Roman" w:hAnsi="Arial" w:cs="Arial"/>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E96"/>
    <w:rPr>
      <w:color w:val="0000FF" w:themeColor="hyperlink"/>
      <w:u w:val="single"/>
    </w:rPr>
  </w:style>
  <w:style w:type="character" w:styleId="FollowedHyperlink">
    <w:name w:val="FollowedHyperlink"/>
    <w:basedOn w:val="DefaultParagraphFont"/>
    <w:uiPriority w:val="99"/>
    <w:semiHidden/>
    <w:unhideWhenUsed/>
    <w:rsid w:val="003D6E96"/>
    <w:rPr>
      <w:color w:val="800080" w:themeColor="followedHyperlink"/>
      <w:u w:val="single"/>
    </w:rPr>
  </w:style>
  <w:style w:type="paragraph" w:styleId="BalloonText">
    <w:name w:val="Balloon Text"/>
    <w:basedOn w:val="Normal"/>
    <w:link w:val="BalloonTextChar"/>
    <w:uiPriority w:val="99"/>
    <w:semiHidden/>
    <w:unhideWhenUsed/>
    <w:rsid w:val="00C62434"/>
    <w:rPr>
      <w:rFonts w:ascii="Tahoma" w:hAnsi="Tahoma" w:cs="Tahoma"/>
      <w:sz w:val="16"/>
      <w:szCs w:val="16"/>
    </w:rPr>
  </w:style>
  <w:style w:type="character" w:customStyle="1" w:styleId="BalloonTextChar">
    <w:name w:val="Balloon Text Char"/>
    <w:basedOn w:val="DefaultParagraphFont"/>
    <w:link w:val="BalloonText"/>
    <w:uiPriority w:val="99"/>
    <w:semiHidden/>
    <w:rsid w:val="00C62434"/>
    <w:rPr>
      <w:rFonts w:ascii="Tahoma" w:eastAsia="Times New Roman" w:hAnsi="Tahoma" w:cs="Tahoma"/>
      <w:sz w:val="16"/>
      <w:szCs w:val="16"/>
      <w:lang w:val="nl-NL"/>
    </w:rPr>
  </w:style>
  <w:style w:type="paragraph" w:styleId="ListParagraph">
    <w:name w:val="List Paragraph"/>
    <w:basedOn w:val="Normal"/>
    <w:uiPriority w:val="34"/>
    <w:qFormat/>
    <w:rsid w:val="00FA63CD"/>
    <w:pPr>
      <w:ind w:left="720"/>
      <w:contextualSpacing/>
    </w:pPr>
  </w:style>
  <w:style w:type="paragraph" w:customStyle="1" w:styleId="wh-normal">
    <w:name w:val="wh-normal"/>
    <w:basedOn w:val="Normal"/>
    <w:rsid w:val="001F6B8A"/>
    <w:pPr>
      <w:spacing w:before="100" w:beforeAutospacing="1" w:after="100" w:afterAutospacing="1"/>
    </w:pPr>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13E"/>
    <w:pPr>
      <w:spacing w:after="0" w:line="240" w:lineRule="auto"/>
    </w:pPr>
    <w:rPr>
      <w:rFonts w:ascii="Arial" w:eastAsia="Times New Roman" w:hAnsi="Arial" w:cs="Arial"/>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E96"/>
    <w:rPr>
      <w:color w:val="0000FF" w:themeColor="hyperlink"/>
      <w:u w:val="single"/>
    </w:rPr>
  </w:style>
  <w:style w:type="character" w:styleId="FollowedHyperlink">
    <w:name w:val="FollowedHyperlink"/>
    <w:basedOn w:val="DefaultParagraphFont"/>
    <w:uiPriority w:val="99"/>
    <w:semiHidden/>
    <w:unhideWhenUsed/>
    <w:rsid w:val="003D6E96"/>
    <w:rPr>
      <w:color w:val="800080" w:themeColor="followedHyperlink"/>
      <w:u w:val="single"/>
    </w:rPr>
  </w:style>
  <w:style w:type="paragraph" w:styleId="BalloonText">
    <w:name w:val="Balloon Text"/>
    <w:basedOn w:val="Normal"/>
    <w:link w:val="BalloonTextChar"/>
    <w:uiPriority w:val="99"/>
    <w:semiHidden/>
    <w:unhideWhenUsed/>
    <w:rsid w:val="00C62434"/>
    <w:rPr>
      <w:rFonts w:ascii="Tahoma" w:hAnsi="Tahoma" w:cs="Tahoma"/>
      <w:sz w:val="16"/>
      <w:szCs w:val="16"/>
    </w:rPr>
  </w:style>
  <w:style w:type="character" w:customStyle="1" w:styleId="BalloonTextChar">
    <w:name w:val="Balloon Text Char"/>
    <w:basedOn w:val="DefaultParagraphFont"/>
    <w:link w:val="BalloonText"/>
    <w:uiPriority w:val="99"/>
    <w:semiHidden/>
    <w:rsid w:val="00C62434"/>
    <w:rPr>
      <w:rFonts w:ascii="Tahoma" w:eastAsia="Times New Roman" w:hAnsi="Tahoma" w:cs="Tahoma"/>
      <w:sz w:val="16"/>
      <w:szCs w:val="16"/>
      <w:lang w:val="nl-NL"/>
    </w:rPr>
  </w:style>
  <w:style w:type="paragraph" w:styleId="ListParagraph">
    <w:name w:val="List Paragraph"/>
    <w:basedOn w:val="Normal"/>
    <w:uiPriority w:val="34"/>
    <w:qFormat/>
    <w:rsid w:val="00FA63CD"/>
    <w:pPr>
      <w:ind w:left="720"/>
      <w:contextualSpacing/>
    </w:pPr>
  </w:style>
  <w:style w:type="paragraph" w:customStyle="1" w:styleId="wh-normal">
    <w:name w:val="wh-normal"/>
    <w:basedOn w:val="Normal"/>
    <w:rsid w:val="001F6B8A"/>
    <w:pPr>
      <w:spacing w:before="100" w:beforeAutospacing="1" w:after="100" w:afterAutospacing="1"/>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15322">
      <w:bodyDiv w:val="1"/>
      <w:marLeft w:val="0"/>
      <w:marRight w:val="0"/>
      <w:marTop w:val="0"/>
      <w:marBottom w:val="0"/>
      <w:divBdr>
        <w:top w:val="none" w:sz="0" w:space="0" w:color="auto"/>
        <w:left w:val="none" w:sz="0" w:space="0" w:color="auto"/>
        <w:bottom w:val="none" w:sz="0" w:space="0" w:color="auto"/>
        <w:right w:val="none" w:sz="0" w:space="0" w:color="auto"/>
      </w:divBdr>
      <w:divsChild>
        <w:div w:id="1122965936">
          <w:marLeft w:val="0"/>
          <w:marRight w:val="0"/>
          <w:marTop w:val="0"/>
          <w:marBottom w:val="0"/>
          <w:divBdr>
            <w:top w:val="none" w:sz="0" w:space="0" w:color="auto"/>
            <w:left w:val="none" w:sz="0" w:space="0" w:color="auto"/>
            <w:bottom w:val="none" w:sz="0" w:space="0" w:color="auto"/>
            <w:right w:val="none" w:sz="0" w:space="0" w:color="auto"/>
          </w:divBdr>
        </w:div>
      </w:divsChild>
    </w:div>
    <w:div w:id="345714913">
      <w:bodyDiv w:val="1"/>
      <w:marLeft w:val="0"/>
      <w:marRight w:val="0"/>
      <w:marTop w:val="0"/>
      <w:marBottom w:val="0"/>
      <w:divBdr>
        <w:top w:val="none" w:sz="0" w:space="0" w:color="auto"/>
        <w:left w:val="none" w:sz="0" w:space="0" w:color="auto"/>
        <w:bottom w:val="none" w:sz="0" w:space="0" w:color="auto"/>
        <w:right w:val="none" w:sz="0" w:space="0" w:color="auto"/>
      </w:divBdr>
    </w:div>
    <w:div w:id="383214162">
      <w:bodyDiv w:val="1"/>
      <w:marLeft w:val="0"/>
      <w:marRight w:val="0"/>
      <w:marTop w:val="0"/>
      <w:marBottom w:val="0"/>
      <w:divBdr>
        <w:top w:val="none" w:sz="0" w:space="0" w:color="auto"/>
        <w:left w:val="none" w:sz="0" w:space="0" w:color="auto"/>
        <w:bottom w:val="none" w:sz="0" w:space="0" w:color="auto"/>
        <w:right w:val="none" w:sz="0" w:space="0" w:color="auto"/>
      </w:divBdr>
      <w:divsChild>
        <w:div w:id="1265843725">
          <w:marLeft w:val="0"/>
          <w:marRight w:val="0"/>
          <w:marTop w:val="0"/>
          <w:marBottom w:val="0"/>
          <w:divBdr>
            <w:top w:val="none" w:sz="0" w:space="0" w:color="auto"/>
            <w:left w:val="none" w:sz="0" w:space="0" w:color="auto"/>
            <w:bottom w:val="none" w:sz="0" w:space="0" w:color="auto"/>
            <w:right w:val="none" w:sz="0" w:space="0" w:color="auto"/>
          </w:divBdr>
        </w:div>
      </w:divsChild>
    </w:div>
    <w:div w:id="707727123">
      <w:bodyDiv w:val="1"/>
      <w:marLeft w:val="0"/>
      <w:marRight w:val="0"/>
      <w:marTop w:val="0"/>
      <w:marBottom w:val="0"/>
      <w:divBdr>
        <w:top w:val="none" w:sz="0" w:space="0" w:color="auto"/>
        <w:left w:val="none" w:sz="0" w:space="0" w:color="auto"/>
        <w:bottom w:val="none" w:sz="0" w:space="0" w:color="auto"/>
        <w:right w:val="none" w:sz="0" w:space="0" w:color="auto"/>
      </w:divBdr>
      <w:divsChild>
        <w:div w:id="2049916214">
          <w:marLeft w:val="0"/>
          <w:marRight w:val="0"/>
          <w:marTop w:val="0"/>
          <w:marBottom w:val="0"/>
          <w:divBdr>
            <w:top w:val="none" w:sz="0" w:space="0" w:color="auto"/>
            <w:left w:val="none" w:sz="0" w:space="0" w:color="auto"/>
            <w:bottom w:val="none" w:sz="0" w:space="0" w:color="auto"/>
            <w:right w:val="none" w:sz="0" w:space="0" w:color="auto"/>
          </w:divBdr>
        </w:div>
      </w:divsChild>
    </w:div>
    <w:div w:id="779880146">
      <w:bodyDiv w:val="1"/>
      <w:marLeft w:val="0"/>
      <w:marRight w:val="0"/>
      <w:marTop w:val="0"/>
      <w:marBottom w:val="0"/>
      <w:divBdr>
        <w:top w:val="none" w:sz="0" w:space="0" w:color="auto"/>
        <w:left w:val="none" w:sz="0" w:space="0" w:color="auto"/>
        <w:bottom w:val="none" w:sz="0" w:space="0" w:color="auto"/>
        <w:right w:val="none" w:sz="0" w:space="0" w:color="auto"/>
      </w:divBdr>
      <w:divsChild>
        <w:div w:id="927736689">
          <w:marLeft w:val="0"/>
          <w:marRight w:val="0"/>
          <w:marTop w:val="0"/>
          <w:marBottom w:val="0"/>
          <w:divBdr>
            <w:top w:val="none" w:sz="0" w:space="0" w:color="auto"/>
            <w:left w:val="none" w:sz="0" w:space="0" w:color="auto"/>
            <w:bottom w:val="none" w:sz="0" w:space="0" w:color="auto"/>
            <w:right w:val="none" w:sz="0" w:space="0" w:color="auto"/>
          </w:divBdr>
        </w:div>
      </w:divsChild>
    </w:div>
    <w:div w:id="806045364">
      <w:bodyDiv w:val="1"/>
      <w:marLeft w:val="0"/>
      <w:marRight w:val="0"/>
      <w:marTop w:val="0"/>
      <w:marBottom w:val="0"/>
      <w:divBdr>
        <w:top w:val="none" w:sz="0" w:space="0" w:color="auto"/>
        <w:left w:val="none" w:sz="0" w:space="0" w:color="auto"/>
        <w:bottom w:val="none" w:sz="0" w:space="0" w:color="auto"/>
        <w:right w:val="none" w:sz="0" w:space="0" w:color="auto"/>
      </w:divBdr>
      <w:divsChild>
        <w:div w:id="288896942">
          <w:marLeft w:val="0"/>
          <w:marRight w:val="0"/>
          <w:marTop w:val="0"/>
          <w:marBottom w:val="0"/>
          <w:divBdr>
            <w:top w:val="none" w:sz="0" w:space="0" w:color="auto"/>
            <w:left w:val="none" w:sz="0" w:space="0" w:color="auto"/>
            <w:bottom w:val="none" w:sz="0" w:space="0" w:color="auto"/>
            <w:right w:val="none" w:sz="0" w:space="0" w:color="auto"/>
          </w:divBdr>
        </w:div>
      </w:divsChild>
    </w:div>
    <w:div w:id="977495491">
      <w:bodyDiv w:val="1"/>
      <w:marLeft w:val="0"/>
      <w:marRight w:val="0"/>
      <w:marTop w:val="0"/>
      <w:marBottom w:val="0"/>
      <w:divBdr>
        <w:top w:val="none" w:sz="0" w:space="0" w:color="auto"/>
        <w:left w:val="none" w:sz="0" w:space="0" w:color="auto"/>
        <w:bottom w:val="none" w:sz="0" w:space="0" w:color="auto"/>
        <w:right w:val="none" w:sz="0" w:space="0" w:color="auto"/>
      </w:divBdr>
      <w:divsChild>
        <w:div w:id="1519585012">
          <w:marLeft w:val="0"/>
          <w:marRight w:val="0"/>
          <w:marTop w:val="0"/>
          <w:marBottom w:val="0"/>
          <w:divBdr>
            <w:top w:val="none" w:sz="0" w:space="0" w:color="auto"/>
            <w:left w:val="none" w:sz="0" w:space="0" w:color="auto"/>
            <w:bottom w:val="none" w:sz="0" w:space="0" w:color="auto"/>
            <w:right w:val="none" w:sz="0" w:space="0" w:color="auto"/>
          </w:divBdr>
        </w:div>
      </w:divsChild>
    </w:div>
    <w:div w:id="1325084260">
      <w:bodyDiv w:val="1"/>
      <w:marLeft w:val="0"/>
      <w:marRight w:val="0"/>
      <w:marTop w:val="0"/>
      <w:marBottom w:val="0"/>
      <w:divBdr>
        <w:top w:val="none" w:sz="0" w:space="0" w:color="auto"/>
        <w:left w:val="none" w:sz="0" w:space="0" w:color="auto"/>
        <w:bottom w:val="none" w:sz="0" w:space="0" w:color="auto"/>
        <w:right w:val="none" w:sz="0" w:space="0" w:color="auto"/>
      </w:divBdr>
      <w:divsChild>
        <w:div w:id="1083262594">
          <w:marLeft w:val="0"/>
          <w:marRight w:val="0"/>
          <w:marTop w:val="0"/>
          <w:marBottom w:val="0"/>
          <w:divBdr>
            <w:top w:val="none" w:sz="0" w:space="0" w:color="auto"/>
            <w:left w:val="none" w:sz="0" w:space="0" w:color="auto"/>
            <w:bottom w:val="none" w:sz="0" w:space="0" w:color="auto"/>
            <w:right w:val="none" w:sz="0" w:space="0" w:color="auto"/>
          </w:divBdr>
        </w:div>
      </w:divsChild>
    </w:div>
    <w:div w:id="1455252117">
      <w:bodyDiv w:val="1"/>
      <w:marLeft w:val="0"/>
      <w:marRight w:val="0"/>
      <w:marTop w:val="0"/>
      <w:marBottom w:val="0"/>
      <w:divBdr>
        <w:top w:val="none" w:sz="0" w:space="0" w:color="auto"/>
        <w:left w:val="none" w:sz="0" w:space="0" w:color="auto"/>
        <w:bottom w:val="none" w:sz="0" w:space="0" w:color="auto"/>
        <w:right w:val="none" w:sz="0" w:space="0" w:color="auto"/>
      </w:divBdr>
      <w:divsChild>
        <w:div w:id="591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oster.utwente.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Twente - ICTS</Company>
  <LinksUpToDate>false</LinksUpToDate>
  <CharactersWithSpaces>10367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Holsbeeke, L. (GW)</dc:creator>
  <cp:lastModifiedBy>Holsbeeke, L. (GW)</cp:lastModifiedBy>
  <cp:revision>3</cp:revision>
  <dcterms:created xsi:type="dcterms:W3CDTF">2014-08-27T11:13:00Z</dcterms:created>
  <dcterms:modified xsi:type="dcterms:W3CDTF">2014-08-27T11:14:00Z</dcterms:modified>
</cp:coreProperties>
</file>