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701CC" w14:textId="49230D3F" w:rsidR="007A2FC5" w:rsidRPr="00515948" w:rsidRDefault="004820F9" w:rsidP="00515948">
      <w:pPr>
        <w:pStyle w:val="Heading3"/>
        <w:tabs>
          <w:tab w:val="clear" w:pos="868"/>
        </w:tabs>
        <w:ind w:left="0" w:firstLine="0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Automated </w:t>
      </w:r>
      <w:r w:rsidR="007A2FC5" w:rsidRPr="00515948">
        <w:rPr>
          <w:b/>
          <w:sz w:val="32"/>
          <w:lang w:val="en-US"/>
        </w:rPr>
        <w:t>Multiple Choice exam</w:t>
      </w:r>
      <w:r>
        <w:rPr>
          <w:b/>
          <w:sz w:val="32"/>
          <w:lang w:val="en-US"/>
        </w:rPr>
        <w:t>s: reports and analysis</w:t>
      </w:r>
    </w:p>
    <w:p w14:paraId="4EDD6575" w14:textId="77777777" w:rsidR="00AB7132" w:rsidRDefault="00AB7132" w:rsidP="007A2FC5">
      <w:pPr>
        <w:rPr>
          <w:lang w:val="en-US"/>
        </w:rPr>
      </w:pPr>
    </w:p>
    <w:p w14:paraId="63E4607C" w14:textId="503455BA" w:rsidR="00AB7132" w:rsidRDefault="007A2FC5" w:rsidP="007A2FC5">
      <w:pPr>
        <w:rPr>
          <w:lang w:val="en-US"/>
        </w:rPr>
      </w:pPr>
      <w:r>
        <w:rPr>
          <w:lang w:val="en-US"/>
        </w:rPr>
        <w:t xml:space="preserve">The University of Twente offers a service for automated processing and grading of multiple choice exams. </w:t>
      </w:r>
      <w:r w:rsidR="00AB7132">
        <w:rPr>
          <w:lang w:val="en-US"/>
        </w:rPr>
        <w:t xml:space="preserve">Students fill out their answers on scannable forms, and lecturers receive automatically calculated grades and reports. </w:t>
      </w:r>
      <w:r w:rsidR="00A60E9D" w:rsidRPr="00A60E9D">
        <w:rPr>
          <w:bCs/>
          <w:lang w:val="en-US"/>
        </w:rPr>
        <w:t xml:space="preserve">This </w:t>
      </w:r>
      <w:r w:rsidR="00A60E9D">
        <w:rPr>
          <w:bCs/>
          <w:lang w:val="en-US"/>
        </w:rPr>
        <w:t>document contains a brief overview of the available reports.</w:t>
      </w:r>
    </w:p>
    <w:p w14:paraId="76F50AE1" w14:textId="23EF6779" w:rsidR="00A60E9D" w:rsidRPr="00790B68" w:rsidRDefault="007A2FC5" w:rsidP="007A2FC5">
      <w:pPr>
        <w:rPr>
          <w:lang w:val="en-US"/>
        </w:rPr>
      </w:pPr>
      <w:r>
        <w:rPr>
          <w:lang w:val="en-US"/>
        </w:rPr>
        <w:t>The scanning se</w:t>
      </w:r>
      <w:r w:rsidR="00AB7132">
        <w:rPr>
          <w:lang w:val="en-US"/>
        </w:rPr>
        <w:t>rvice is located in Spiegel 414</w:t>
      </w:r>
      <w:r w:rsidRPr="007A2FC5">
        <w:rPr>
          <w:lang w:val="en-US"/>
        </w:rPr>
        <w:t xml:space="preserve">. </w:t>
      </w:r>
      <w:r>
        <w:rPr>
          <w:lang w:val="en-US"/>
        </w:rPr>
        <w:t xml:space="preserve"> Please see the </w:t>
      </w:r>
      <w:hyperlink r:id="rId8" w:history="1">
        <w:r w:rsidRPr="00790B68">
          <w:rPr>
            <w:rStyle w:val="Hyperlink"/>
            <w:lang w:val="en-US"/>
          </w:rPr>
          <w:t>TELT website</w:t>
        </w:r>
      </w:hyperlink>
      <w:r>
        <w:rPr>
          <w:lang w:val="en-US"/>
        </w:rPr>
        <w:t xml:space="preserve"> for a description of the service, as well as all the forms you will need</w:t>
      </w:r>
      <w:r w:rsidR="00592494">
        <w:rPr>
          <w:lang w:val="en-US"/>
        </w:rPr>
        <w:t xml:space="preserve"> to use</w:t>
      </w:r>
      <w:r>
        <w:rPr>
          <w:lang w:val="en-US"/>
        </w:rPr>
        <w:t>.</w:t>
      </w:r>
    </w:p>
    <w:p w14:paraId="50FF876C" w14:textId="6B1C7B50" w:rsidR="007A2FC5" w:rsidRPr="00515948" w:rsidRDefault="00AB7132" w:rsidP="00515948">
      <w:pPr>
        <w:pStyle w:val="Heading5"/>
        <w:rPr>
          <w:b w:val="0"/>
          <w:lang w:val="en-US"/>
        </w:rPr>
      </w:pPr>
      <w:r>
        <w:rPr>
          <w:b w:val="0"/>
          <w:lang w:val="en-US"/>
        </w:rPr>
        <w:t>Reports and analysis</w:t>
      </w:r>
    </w:p>
    <w:p w14:paraId="75FB2408" w14:textId="0EFB0437" w:rsidR="007A2FC5" w:rsidRPr="007A2FC5" w:rsidRDefault="00AB7132" w:rsidP="007A2FC5">
      <w:pPr>
        <w:rPr>
          <w:bCs/>
          <w:lang w:val="en-US"/>
        </w:rPr>
      </w:pPr>
      <w:r>
        <w:rPr>
          <w:bCs/>
          <w:lang w:val="en-US"/>
        </w:rPr>
        <w:t xml:space="preserve">The scanning service </w:t>
      </w:r>
      <w:r>
        <w:rPr>
          <w:lang w:val="en-US"/>
        </w:rPr>
        <w:t xml:space="preserve">uses the </w:t>
      </w:r>
      <w:hyperlink r:id="rId9" w:history="1">
        <w:r w:rsidRPr="007A2FC5">
          <w:rPr>
            <w:rStyle w:val="Hyperlink"/>
            <w:lang w:val="en-US"/>
          </w:rPr>
          <w:t>ConTest</w:t>
        </w:r>
      </w:hyperlink>
      <w:r>
        <w:rPr>
          <w:bCs/>
          <w:lang w:val="en-US"/>
        </w:rPr>
        <w:t xml:space="preserve"> application. It</w:t>
      </w:r>
      <w:r w:rsidR="007A2FC5" w:rsidRPr="007A2FC5">
        <w:rPr>
          <w:bCs/>
          <w:lang w:val="en-US"/>
        </w:rPr>
        <w:t xml:space="preserve"> can deliver several reports, which are explained </w:t>
      </w:r>
      <w:r>
        <w:rPr>
          <w:bCs/>
          <w:lang w:val="en-US"/>
        </w:rPr>
        <w:t>below</w:t>
      </w:r>
      <w:r w:rsidR="007A2FC5" w:rsidRPr="007A2FC5">
        <w:rPr>
          <w:bCs/>
          <w:lang w:val="en-US"/>
        </w:rPr>
        <w:t>.</w:t>
      </w:r>
    </w:p>
    <w:p w14:paraId="3EA23307" w14:textId="77777777" w:rsidR="007A2FC5" w:rsidRPr="00515948" w:rsidRDefault="007A2FC5" w:rsidP="007A2FC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15948">
        <w:rPr>
          <w:b/>
          <w:lang w:val="en-US"/>
        </w:rPr>
        <w:t>The answers for each student in CSV format (testdata.csv)</w:t>
      </w:r>
    </w:p>
    <w:p w14:paraId="6F8C7193" w14:textId="7B68B85B" w:rsidR="007A2FC5" w:rsidRPr="007A2FC5" w:rsidRDefault="007A2FC5" w:rsidP="007A2FC5">
      <w:pPr>
        <w:rPr>
          <w:bCs/>
          <w:lang w:val="en-US"/>
        </w:rPr>
      </w:pPr>
      <w:r>
        <w:rPr>
          <w:bCs/>
          <w:lang w:val="en-US"/>
        </w:rPr>
        <w:t xml:space="preserve">This file contains the raw data. The </w:t>
      </w:r>
      <w:r w:rsidR="00AB7132">
        <w:rPr>
          <w:bCs/>
          <w:lang w:val="en-US"/>
        </w:rPr>
        <w:t>second</w:t>
      </w:r>
      <w:r>
        <w:rPr>
          <w:bCs/>
          <w:lang w:val="en-US"/>
        </w:rPr>
        <w:t xml:space="preserve"> row contains the correct answer (participant nr, 0). These data can be used to run your own analysis in Excel or SPSS. </w:t>
      </w:r>
      <w:r w:rsidR="00480172">
        <w:rPr>
          <w:bCs/>
          <w:lang w:val="en-US"/>
        </w:rPr>
        <w:t xml:space="preserve">Please see an example below, or download the </w:t>
      </w:r>
      <w:hyperlink r:id="rId10" w:history="1">
        <w:r w:rsidR="00480172" w:rsidRPr="00790B68">
          <w:rPr>
            <w:rStyle w:val="Hyperlink"/>
            <w:bCs/>
            <w:lang w:val="en-US"/>
          </w:rPr>
          <w:t>sample csv file</w:t>
        </w:r>
      </w:hyperlink>
      <w:r w:rsidR="00480172">
        <w:rPr>
          <w:bCs/>
          <w:lang w:val="en-US"/>
        </w:rPr>
        <w:t>.</w:t>
      </w:r>
    </w:p>
    <w:tbl>
      <w:tblPr>
        <w:tblW w:w="7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072"/>
        <w:gridCol w:w="457"/>
        <w:gridCol w:w="457"/>
        <w:gridCol w:w="457"/>
        <w:gridCol w:w="457"/>
        <w:gridCol w:w="457"/>
        <w:gridCol w:w="457"/>
        <w:gridCol w:w="457"/>
        <w:gridCol w:w="292"/>
        <w:gridCol w:w="457"/>
        <w:gridCol w:w="457"/>
        <w:gridCol w:w="457"/>
      </w:tblGrid>
      <w:tr w:rsidR="007A2FC5" w:rsidRPr="007A2FC5" w14:paraId="3D153AA6" w14:textId="77777777" w:rsidTr="00480172"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E1307" w14:textId="77777777" w:rsidR="007A2FC5" w:rsidRP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Participant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F2D9" w14:textId="77777777" w:rsidR="007A2FC5" w:rsidRDefault="00480172" w:rsidP="004801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Received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D39B0" w14:textId="77777777" w:rsidR="007A2FC5" w:rsidRDefault="007A2FC5" w:rsidP="007A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ADA06" w14:textId="77777777" w:rsidR="007A2FC5" w:rsidRDefault="007A2FC5" w:rsidP="007A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ADDCA" w14:textId="77777777" w:rsidR="007A2FC5" w:rsidRDefault="007A2FC5" w:rsidP="007A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B5E69" w14:textId="77777777" w:rsidR="007A2FC5" w:rsidRDefault="007A2FC5" w:rsidP="007A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19552" w14:textId="77777777" w:rsidR="007A2FC5" w:rsidRDefault="007A2FC5" w:rsidP="007A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9A46F4" w14:textId="77777777" w:rsidR="007A2FC5" w:rsidRDefault="007A2FC5" w:rsidP="007A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0C226" w14:textId="77777777" w:rsidR="007A2FC5" w:rsidRDefault="007A2FC5" w:rsidP="007A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51EE4" w14:textId="77777777" w:rsidR="007A2FC5" w:rsidRPr="007A2FC5" w:rsidRDefault="007A2FC5" w:rsidP="007A2FC5">
            <w:pPr>
              <w:rPr>
                <w:lang w:val="en-US"/>
              </w:rPr>
            </w:pPr>
            <w:r w:rsidRPr="007A2FC5">
              <w:rPr>
                <w:lang w:val="en-US"/>
              </w:rPr>
              <w:t>…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F1109" w14:textId="292BEB71" w:rsidR="007A2FC5" w:rsidRDefault="00A942DD" w:rsidP="007A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D31A7" w14:textId="756BEA58" w:rsidR="007A2FC5" w:rsidRDefault="00A942DD" w:rsidP="007A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66B406" w14:textId="46793EAB" w:rsidR="007A2FC5" w:rsidRDefault="00A942DD" w:rsidP="007A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7A2FC5" w:rsidRPr="007A2FC5" w14:paraId="1A2C58C2" w14:textId="77777777" w:rsidTr="00480172"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7BE6E" w14:textId="77777777" w:rsidR="007A2FC5" w:rsidRPr="007A2FC5" w:rsidRDefault="007A2FC5" w:rsidP="007A2F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70C7" w14:textId="77777777" w:rsidR="007A2FC5" w:rsidRDefault="00480172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1-1-2017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07502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5AB29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43125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E057A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4D32A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5D4CA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11DC0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F3CD1" w14:textId="77777777" w:rsidR="007A2FC5" w:rsidRPr="007A2FC5" w:rsidRDefault="007A2FC5" w:rsidP="007A2FC5">
            <w:pPr>
              <w:rPr>
                <w:lang w:val="en-US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D179D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F94E8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0954B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7A2FC5" w:rsidRPr="007A2FC5" w14:paraId="521D3A22" w14:textId="77777777" w:rsidTr="004801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5BD5B" w14:textId="77777777" w:rsidR="007A2FC5" w:rsidRPr="007A2FC5" w:rsidRDefault="007A2FC5" w:rsidP="007A2FC5">
            <w:pPr>
              <w:rPr>
                <w:lang w:val="en-US"/>
              </w:rPr>
            </w:pPr>
            <w:r>
              <w:rPr>
                <w:lang w:val="en-US"/>
              </w:rPr>
              <w:t>0123456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0C59" w14:textId="77777777" w:rsidR="007A2FC5" w:rsidRDefault="00480172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C8654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FA0FBF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3AD3F4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1E8A5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6D3D7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9A70A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9EC7F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29104" w14:textId="77777777" w:rsidR="007A2FC5" w:rsidRPr="007A2FC5" w:rsidRDefault="007A2FC5" w:rsidP="007A2FC5">
            <w:pPr>
              <w:rPr>
                <w:lang w:val="en-US"/>
              </w:rPr>
            </w:pPr>
            <w:r w:rsidRPr="007A2FC5">
              <w:rPr>
                <w:lang w:val="en-US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207DD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49915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17CCB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7A2FC5" w:rsidRPr="007A2FC5" w14:paraId="174C396A" w14:textId="77777777" w:rsidTr="004801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C01A5" w14:textId="77777777" w:rsidR="007A2FC5" w:rsidRDefault="007A2FC5" w:rsidP="007A2FC5">
            <w:pPr>
              <w:rPr>
                <w:lang w:val="en-US"/>
              </w:rPr>
            </w:pPr>
            <w:r>
              <w:rPr>
                <w:lang w:val="en-US"/>
              </w:rPr>
              <w:t>0234567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E1DE" w14:textId="77777777" w:rsidR="007A2FC5" w:rsidRDefault="00480172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D0F411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FF1BC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9B706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F5970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70C0F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66448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1E6EA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460CC" w14:textId="77777777" w:rsidR="007A2FC5" w:rsidRPr="007A2FC5" w:rsidRDefault="007A2FC5" w:rsidP="007A2FC5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23804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BDD5B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78EBF" w14:textId="77777777" w:rsidR="007A2FC5" w:rsidRDefault="007A2FC5" w:rsidP="007A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</w:tbl>
    <w:p w14:paraId="62434D14" w14:textId="77777777" w:rsidR="007A2FC5" w:rsidRDefault="007A2FC5" w:rsidP="007A2FC5">
      <w:pPr>
        <w:rPr>
          <w:b/>
          <w:bCs/>
        </w:rPr>
      </w:pPr>
    </w:p>
    <w:p w14:paraId="4AF0F399" w14:textId="77777777" w:rsidR="007A2FC5" w:rsidRPr="00515948" w:rsidRDefault="00480172" w:rsidP="0048017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15948">
        <w:rPr>
          <w:b/>
          <w:lang w:val="en-US"/>
        </w:rPr>
        <w:t>The grades per student as calculated by ConTest, in Excel format (ReportBook.xls)</w:t>
      </w:r>
    </w:p>
    <w:p w14:paraId="18BE0DAD" w14:textId="32C5F5D6" w:rsidR="00480172" w:rsidRDefault="00480172" w:rsidP="00480172">
      <w:pPr>
        <w:rPr>
          <w:bCs/>
          <w:lang w:val="en-US"/>
        </w:rPr>
      </w:pPr>
      <w:r>
        <w:rPr>
          <w:bCs/>
          <w:lang w:val="en-US"/>
        </w:rPr>
        <w:t xml:space="preserve">This file contains the </w:t>
      </w:r>
      <w:r w:rsidR="00A239CE">
        <w:rPr>
          <w:bCs/>
          <w:lang w:val="en-US"/>
        </w:rPr>
        <w:t xml:space="preserve">grades as calculated by ConTest. Below is a small example, and you can also download the </w:t>
      </w:r>
      <w:hyperlink r:id="rId11" w:history="1">
        <w:r w:rsidR="00A239CE" w:rsidRPr="00790B68">
          <w:rPr>
            <w:rStyle w:val="Hyperlink"/>
            <w:bCs/>
            <w:lang w:val="en-US"/>
          </w:rPr>
          <w:t>sample xls file.</w:t>
        </w:r>
      </w:hyperlink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150"/>
        <w:gridCol w:w="420"/>
        <w:gridCol w:w="283"/>
        <w:gridCol w:w="736"/>
        <w:gridCol w:w="196"/>
        <w:gridCol w:w="196"/>
        <w:gridCol w:w="578"/>
        <w:gridCol w:w="196"/>
        <w:gridCol w:w="196"/>
        <w:gridCol w:w="454"/>
        <w:gridCol w:w="782"/>
        <w:gridCol w:w="479"/>
        <w:gridCol w:w="232"/>
        <w:gridCol w:w="630"/>
      </w:tblGrid>
      <w:tr w:rsidR="00AC0A31" w:rsidRPr="00480172" w14:paraId="26663F13" w14:textId="77777777" w:rsidTr="00AC0A31">
        <w:trPr>
          <w:trHeight w:val="217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hideMark/>
          </w:tcPr>
          <w:p w14:paraId="4E1F5833" w14:textId="77777777" w:rsidR="00AC0A31" w:rsidRPr="00A239CE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A239CE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</w:tcBorders>
            <w:shd w:val="clear" w:color="000000" w:fill="FFFFFF"/>
            <w:noWrap/>
            <w:hideMark/>
          </w:tcPr>
          <w:p w14:paraId="238778C4" w14:textId="77777777" w:rsidR="00AC0A31" w:rsidRPr="00A239CE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A239CE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000000" w:fill="FFFFFF"/>
            <w:noWrap/>
            <w:hideMark/>
          </w:tcPr>
          <w:p w14:paraId="1F30C1AF" w14:textId="77777777" w:rsidR="00AC0A31" w:rsidRPr="00A239CE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A239CE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000000" w:fill="FFFFFF"/>
            <w:noWrap/>
            <w:hideMark/>
          </w:tcPr>
          <w:p w14:paraId="2C831F2E" w14:textId="77777777" w:rsidR="00AC0A31" w:rsidRPr="00A239CE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A239CE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</w:tcBorders>
            <w:shd w:val="clear" w:color="000000" w:fill="FFFFFF"/>
            <w:noWrap/>
            <w:hideMark/>
          </w:tcPr>
          <w:p w14:paraId="4166AF40" w14:textId="5CF0273E" w:rsidR="00AC0A31" w:rsidRPr="00480172" w:rsidRDefault="00AC0A31" w:rsidP="00AC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239CE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 </w:t>
            </w: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Score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</w:tcBorders>
            <w:shd w:val="clear" w:color="000000" w:fill="FFFFFF"/>
            <w:noWrap/>
            <w:hideMark/>
          </w:tcPr>
          <w:p w14:paraId="7DA7FC5D" w14:textId="50E29A5A" w:rsidR="00AC0A31" w:rsidRPr="00480172" w:rsidRDefault="00AC0A31" w:rsidP="00AC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Grade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08982A8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A31" w:rsidRPr="00480172" w14:paraId="1427C253" w14:textId="77777777" w:rsidTr="00AC0A31">
        <w:tc>
          <w:tcPr>
            <w:tcW w:w="972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hideMark/>
          </w:tcPr>
          <w:p w14:paraId="3B8E7FCA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Participant</w:t>
            </w:r>
          </w:p>
        </w:tc>
        <w:tc>
          <w:tcPr>
            <w:tcW w:w="1150" w:type="dxa"/>
            <w:tcBorders>
              <w:bottom w:val="single" w:sz="8" w:space="0" w:color="auto"/>
            </w:tcBorders>
            <w:shd w:val="clear" w:color="000000" w:fill="FFFFFF"/>
            <w:hideMark/>
          </w:tcPr>
          <w:p w14:paraId="64C93196" w14:textId="77777777" w:rsidR="00AC0A31" w:rsidRPr="00480172" w:rsidRDefault="00AC0A31" w:rsidP="00480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Name</w:t>
            </w: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000000" w:fill="FFFFFF"/>
            <w:hideMark/>
          </w:tcPr>
          <w:p w14:paraId="15803318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Open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shd w:val="clear" w:color="000000" w:fill="FFFFFF"/>
            <w:noWrap/>
            <w:hideMark/>
          </w:tcPr>
          <w:p w14:paraId="6EA581B2" w14:textId="19EE736D" w:rsidR="00AC0A31" w:rsidRPr="00480172" w:rsidRDefault="00AC0A31" w:rsidP="00AC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6" w:type="dxa"/>
            <w:tcBorders>
              <w:bottom w:val="single" w:sz="8" w:space="0" w:color="auto"/>
            </w:tcBorders>
            <w:shd w:val="clear" w:color="000000" w:fill="FFFFFF"/>
            <w:noWrap/>
            <w:hideMark/>
          </w:tcPr>
          <w:p w14:paraId="5E6D8A77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6" w:type="dxa"/>
            <w:tcBorders>
              <w:bottom w:val="single" w:sz="8" w:space="0" w:color="auto"/>
            </w:tcBorders>
            <w:shd w:val="clear" w:color="000000" w:fill="FFFFFF"/>
            <w:noWrap/>
            <w:hideMark/>
          </w:tcPr>
          <w:p w14:paraId="2B65DA5D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74" w:type="dxa"/>
            <w:gridSpan w:val="2"/>
            <w:tcBorders>
              <w:bottom w:val="single" w:sz="8" w:space="0" w:color="auto"/>
            </w:tcBorders>
            <w:shd w:val="clear" w:color="000000" w:fill="FFFFFF"/>
            <w:hideMark/>
          </w:tcPr>
          <w:p w14:paraId="7D76E12C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Bonus</w:t>
            </w:r>
          </w:p>
        </w:tc>
        <w:tc>
          <w:tcPr>
            <w:tcW w:w="196" w:type="dxa"/>
            <w:tcBorders>
              <w:bottom w:val="single" w:sz="8" w:space="0" w:color="auto"/>
            </w:tcBorders>
            <w:shd w:val="clear" w:color="000000" w:fill="FFFFFF"/>
            <w:noWrap/>
            <w:hideMark/>
          </w:tcPr>
          <w:p w14:paraId="7D4D3A2B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000000" w:fill="FFFFFF"/>
            <w:hideMark/>
          </w:tcPr>
          <w:p w14:paraId="16BD6E06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Tot.</w:t>
            </w:r>
          </w:p>
        </w:tc>
        <w:tc>
          <w:tcPr>
            <w:tcW w:w="782" w:type="dxa"/>
            <w:tcBorders>
              <w:bottom w:val="single" w:sz="8" w:space="0" w:color="auto"/>
            </w:tcBorders>
            <w:shd w:val="clear" w:color="000000" w:fill="FFFFFF"/>
            <w:noWrap/>
            <w:hideMark/>
          </w:tcPr>
          <w:p w14:paraId="7C328CF4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11" w:type="dxa"/>
            <w:gridSpan w:val="2"/>
            <w:tcBorders>
              <w:bottom w:val="single" w:sz="8" w:space="0" w:color="auto"/>
            </w:tcBorders>
            <w:shd w:val="clear" w:color="000000" w:fill="FFFFFF"/>
            <w:hideMark/>
          </w:tcPr>
          <w:p w14:paraId="3A56765C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Bonus</w:t>
            </w: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077BDE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Tot.</w:t>
            </w:r>
          </w:p>
        </w:tc>
      </w:tr>
      <w:tr w:rsidR="00AC0A31" w:rsidRPr="00480172" w14:paraId="2F5F3488" w14:textId="77777777" w:rsidTr="00AC0A31">
        <w:tc>
          <w:tcPr>
            <w:tcW w:w="97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hideMark/>
          </w:tcPr>
          <w:p w14:paraId="5456B95A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2345678</w:t>
            </w:r>
          </w:p>
        </w:tc>
        <w:tc>
          <w:tcPr>
            <w:tcW w:w="1150" w:type="dxa"/>
            <w:tcBorders>
              <w:top w:val="single" w:sz="8" w:space="0" w:color="auto"/>
            </w:tcBorders>
            <w:shd w:val="clear" w:color="000000" w:fill="FFFFFF"/>
            <w:hideMark/>
          </w:tcPr>
          <w:p w14:paraId="1E118B50" w14:textId="77777777" w:rsidR="00AC0A31" w:rsidRPr="00480172" w:rsidRDefault="00AC0A31" w:rsidP="0048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Jansen, A.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000000" w:fill="FFFFFF"/>
            <w:hideMark/>
          </w:tcPr>
          <w:p w14:paraId="221A38D5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000000" w:fill="FFFFFF"/>
            <w:noWrap/>
            <w:hideMark/>
          </w:tcPr>
          <w:p w14:paraId="630302C4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</w:tcBorders>
            <w:shd w:val="clear" w:color="000000" w:fill="FFFFFF"/>
            <w:hideMark/>
          </w:tcPr>
          <w:p w14:paraId="058E0CAC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15,00</w:t>
            </w:r>
          </w:p>
        </w:tc>
        <w:tc>
          <w:tcPr>
            <w:tcW w:w="196" w:type="dxa"/>
            <w:tcBorders>
              <w:top w:val="single" w:sz="8" w:space="0" w:color="auto"/>
            </w:tcBorders>
            <w:shd w:val="clear" w:color="000000" w:fill="FFFFFF"/>
            <w:noWrap/>
            <w:hideMark/>
          </w:tcPr>
          <w:p w14:paraId="3588D270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</w:tcBorders>
            <w:shd w:val="clear" w:color="000000" w:fill="FFFFFF"/>
            <w:hideMark/>
          </w:tcPr>
          <w:p w14:paraId="5CFDF61E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0,00</w:t>
            </w:r>
          </w:p>
        </w:tc>
        <w:tc>
          <w:tcPr>
            <w:tcW w:w="196" w:type="dxa"/>
            <w:tcBorders>
              <w:top w:val="single" w:sz="8" w:space="0" w:color="auto"/>
            </w:tcBorders>
            <w:shd w:val="clear" w:color="000000" w:fill="FFFFFF"/>
            <w:noWrap/>
            <w:hideMark/>
          </w:tcPr>
          <w:p w14:paraId="15D7B82A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</w:tcBorders>
            <w:shd w:val="clear" w:color="000000" w:fill="FFFFFF"/>
            <w:hideMark/>
          </w:tcPr>
          <w:p w14:paraId="75596C30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15,00</w:t>
            </w:r>
          </w:p>
        </w:tc>
        <w:tc>
          <w:tcPr>
            <w:tcW w:w="782" w:type="dxa"/>
            <w:tcBorders>
              <w:top w:val="single" w:sz="8" w:space="0" w:color="auto"/>
            </w:tcBorders>
            <w:shd w:val="clear" w:color="000000" w:fill="FFFFFF"/>
            <w:hideMark/>
          </w:tcPr>
          <w:p w14:paraId="02986926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5,8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</w:tcBorders>
            <w:shd w:val="clear" w:color="000000" w:fill="FFFFFF"/>
            <w:hideMark/>
          </w:tcPr>
          <w:p w14:paraId="2C068616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0,0</w:t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52C513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5,8</w:t>
            </w:r>
          </w:p>
        </w:tc>
      </w:tr>
      <w:tr w:rsidR="00AC0A31" w:rsidRPr="00480172" w14:paraId="2B58B436" w14:textId="77777777" w:rsidTr="00AC0A31">
        <w:tc>
          <w:tcPr>
            <w:tcW w:w="972" w:type="dxa"/>
            <w:tcBorders>
              <w:left w:val="single" w:sz="8" w:space="0" w:color="auto"/>
            </w:tcBorders>
            <w:shd w:val="clear" w:color="000000" w:fill="FFFFFF"/>
            <w:hideMark/>
          </w:tcPr>
          <w:p w14:paraId="726F1BF2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2678901</w:t>
            </w:r>
          </w:p>
        </w:tc>
        <w:tc>
          <w:tcPr>
            <w:tcW w:w="1150" w:type="dxa"/>
            <w:shd w:val="clear" w:color="000000" w:fill="FFFFFF"/>
            <w:hideMark/>
          </w:tcPr>
          <w:p w14:paraId="2B900B40" w14:textId="77777777" w:rsidR="00AC0A31" w:rsidRPr="00480172" w:rsidRDefault="00AC0A31" w:rsidP="0048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Pietersen, B. </w:t>
            </w:r>
          </w:p>
        </w:tc>
        <w:tc>
          <w:tcPr>
            <w:tcW w:w="420" w:type="dxa"/>
            <w:shd w:val="clear" w:color="000000" w:fill="FFFFFF"/>
            <w:hideMark/>
          </w:tcPr>
          <w:p w14:paraId="500C654C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14:paraId="069706A7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6" w:type="dxa"/>
            <w:shd w:val="clear" w:color="000000" w:fill="FFFFFF"/>
            <w:hideMark/>
          </w:tcPr>
          <w:p w14:paraId="6AE6F9AD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17,00</w:t>
            </w:r>
          </w:p>
        </w:tc>
        <w:tc>
          <w:tcPr>
            <w:tcW w:w="196" w:type="dxa"/>
            <w:shd w:val="clear" w:color="000000" w:fill="FFFFFF"/>
            <w:noWrap/>
            <w:hideMark/>
          </w:tcPr>
          <w:p w14:paraId="3A0546DA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74" w:type="dxa"/>
            <w:gridSpan w:val="2"/>
            <w:shd w:val="clear" w:color="000000" w:fill="FFFFFF"/>
            <w:hideMark/>
          </w:tcPr>
          <w:p w14:paraId="777BED56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0,00</w:t>
            </w:r>
          </w:p>
        </w:tc>
        <w:tc>
          <w:tcPr>
            <w:tcW w:w="196" w:type="dxa"/>
            <w:shd w:val="clear" w:color="000000" w:fill="FFFFFF"/>
            <w:noWrap/>
            <w:hideMark/>
          </w:tcPr>
          <w:p w14:paraId="684CFBC5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0" w:type="dxa"/>
            <w:gridSpan w:val="2"/>
            <w:shd w:val="clear" w:color="000000" w:fill="FFFFFF"/>
            <w:hideMark/>
          </w:tcPr>
          <w:p w14:paraId="4340F31B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17,00</w:t>
            </w:r>
          </w:p>
        </w:tc>
        <w:tc>
          <w:tcPr>
            <w:tcW w:w="782" w:type="dxa"/>
            <w:shd w:val="clear" w:color="000000" w:fill="FFFFFF"/>
            <w:hideMark/>
          </w:tcPr>
          <w:p w14:paraId="2DBB3BEF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6,9</w:t>
            </w:r>
          </w:p>
        </w:tc>
        <w:tc>
          <w:tcPr>
            <w:tcW w:w="711" w:type="dxa"/>
            <w:gridSpan w:val="2"/>
            <w:shd w:val="clear" w:color="000000" w:fill="FFFFFF"/>
            <w:hideMark/>
          </w:tcPr>
          <w:p w14:paraId="02F71399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0,0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000000" w:fill="FFFFFF"/>
            <w:hideMark/>
          </w:tcPr>
          <w:p w14:paraId="5BB78AE7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6,9</w:t>
            </w:r>
          </w:p>
        </w:tc>
      </w:tr>
      <w:tr w:rsidR="00AC0A31" w:rsidRPr="00480172" w14:paraId="0D701D80" w14:textId="77777777" w:rsidTr="00AC0A31">
        <w:tc>
          <w:tcPr>
            <w:tcW w:w="972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hideMark/>
          </w:tcPr>
          <w:p w14:paraId="05064281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2456789</w:t>
            </w:r>
          </w:p>
        </w:tc>
        <w:tc>
          <w:tcPr>
            <w:tcW w:w="1150" w:type="dxa"/>
            <w:tcBorders>
              <w:bottom w:val="single" w:sz="8" w:space="0" w:color="auto"/>
            </w:tcBorders>
            <w:shd w:val="clear" w:color="000000" w:fill="FFFFFF"/>
            <w:hideMark/>
          </w:tcPr>
          <w:p w14:paraId="5C31FBE5" w14:textId="77777777" w:rsidR="00AC0A31" w:rsidRPr="00480172" w:rsidRDefault="00AC0A31" w:rsidP="00480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Li, C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000000" w:fill="FFFFFF"/>
            <w:hideMark/>
          </w:tcPr>
          <w:p w14:paraId="04996067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000000" w:fill="FFFFFF"/>
            <w:noWrap/>
            <w:hideMark/>
          </w:tcPr>
          <w:p w14:paraId="0B140B97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shd w:val="clear" w:color="000000" w:fill="FFFFFF"/>
            <w:hideMark/>
          </w:tcPr>
          <w:p w14:paraId="1B0D4DDD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11,00</w:t>
            </w:r>
          </w:p>
        </w:tc>
        <w:tc>
          <w:tcPr>
            <w:tcW w:w="196" w:type="dxa"/>
            <w:tcBorders>
              <w:bottom w:val="single" w:sz="8" w:space="0" w:color="auto"/>
            </w:tcBorders>
            <w:shd w:val="clear" w:color="000000" w:fill="FFFFFF"/>
            <w:noWrap/>
            <w:hideMark/>
          </w:tcPr>
          <w:p w14:paraId="6870DEFD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74" w:type="dxa"/>
            <w:gridSpan w:val="2"/>
            <w:tcBorders>
              <w:bottom w:val="single" w:sz="8" w:space="0" w:color="auto"/>
            </w:tcBorders>
            <w:shd w:val="clear" w:color="000000" w:fill="FFFFFF"/>
            <w:hideMark/>
          </w:tcPr>
          <w:p w14:paraId="4D278998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0,00</w:t>
            </w:r>
          </w:p>
        </w:tc>
        <w:tc>
          <w:tcPr>
            <w:tcW w:w="196" w:type="dxa"/>
            <w:tcBorders>
              <w:bottom w:val="single" w:sz="8" w:space="0" w:color="auto"/>
            </w:tcBorders>
            <w:shd w:val="clear" w:color="000000" w:fill="FFFFFF"/>
            <w:noWrap/>
            <w:hideMark/>
          </w:tcPr>
          <w:p w14:paraId="00D66576" w14:textId="77777777" w:rsidR="00AC0A31" w:rsidRPr="00480172" w:rsidRDefault="00AC0A31" w:rsidP="0048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01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000000" w:fill="FFFFFF"/>
            <w:hideMark/>
          </w:tcPr>
          <w:p w14:paraId="45817287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11,00</w:t>
            </w:r>
          </w:p>
        </w:tc>
        <w:tc>
          <w:tcPr>
            <w:tcW w:w="782" w:type="dxa"/>
            <w:tcBorders>
              <w:bottom w:val="single" w:sz="8" w:space="0" w:color="auto"/>
            </w:tcBorders>
            <w:shd w:val="clear" w:color="000000" w:fill="FFFFFF"/>
            <w:hideMark/>
          </w:tcPr>
          <w:p w14:paraId="12137BBD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711" w:type="dxa"/>
            <w:gridSpan w:val="2"/>
            <w:tcBorders>
              <w:bottom w:val="single" w:sz="8" w:space="0" w:color="auto"/>
            </w:tcBorders>
            <w:shd w:val="clear" w:color="000000" w:fill="FFFFFF"/>
            <w:hideMark/>
          </w:tcPr>
          <w:p w14:paraId="107EBB35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0,0</w:t>
            </w: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E0A6E9" w14:textId="77777777" w:rsidR="00AC0A31" w:rsidRPr="00480172" w:rsidRDefault="00AC0A31" w:rsidP="00480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80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3,7</w:t>
            </w:r>
          </w:p>
        </w:tc>
      </w:tr>
    </w:tbl>
    <w:p w14:paraId="21287DB6" w14:textId="77777777" w:rsidR="00480172" w:rsidRDefault="00480172" w:rsidP="00480172">
      <w:pPr>
        <w:rPr>
          <w:bCs/>
          <w:lang w:val="en-US"/>
        </w:rPr>
      </w:pPr>
    </w:p>
    <w:p w14:paraId="18D485D5" w14:textId="126DC4B2" w:rsidR="00480172" w:rsidRPr="00A239CE" w:rsidRDefault="00A239CE" w:rsidP="00AB548A">
      <w:pPr>
        <w:rPr>
          <w:rFonts w:ascii="Courier New" w:hAnsi="Courier New" w:cs="Courier New"/>
          <w:bCs/>
          <w:lang w:val="en-US"/>
        </w:rPr>
      </w:pPr>
      <w:r>
        <w:rPr>
          <w:bCs/>
          <w:lang w:val="en-US"/>
        </w:rPr>
        <w:t>The formula used to calculate the grade is a commonly used formula for multiple choice exams with four possible answers</w:t>
      </w:r>
      <w:r w:rsidR="00AB548A">
        <w:rPr>
          <w:bCs/>
          <w:lang w:val="en-US"/>
        </w:rPr>
        <w:t xml:space="preserve">. Please contact your </w:t>
      </w:r>
      <w:hyperlink r:id="rId12" w:history="1">
        <w:r w:rsidR="00AB548A" w:rsidRPr="00AB548A">
          <w:rPr>
            <w:rStyle w:val="Hyperlink"/>
            <w:bCs/>
            <w:lang w:val="en-US"/>
          </w:rPr>
          <w:t xml:space="preserve">faculty education </w:t>
        </w:r>
        <w:r w:rsidR="00AB548A">
          <w:rPr>
            <w:rStyle w:val="Hyperlink"/>
            <w:bCs/>
            <w:lang w:val="en-US"/>
          </w:rPr>
          <w:t>advisor</w:t>
        </w:r>
      </w:hyperlink>
      <w:r w:rsidR="00AB548A">
        <w:rPr>
          <w:bCs/>
          <w:lang w:val="en-US"/>
        </w:rPr>
        <w:t xml:space="preserve"> if you have questions about this, or about other calculation methods (for example, more complex exams that combine multiple choice questions and open questions).</w:t>
      </w:r>
    </w:p>
    <w:p w14:paraId="3AB08D0D" w14:textId="77777777" w:rsidR="00A239CE" w:rsidRDefault="00A239CE" w:rsidP="00480172">
      <w:pPr>
        <w:rPr>
          <w:bCs/>
          <w:lang w:val="en-US"/>
        </w:rPr>
      </w:pPr>
    </w:p>
    <w:p w14:paraId="221FED10" w14:textId="77777777" w:rsidR="00A239CE" w:rsidRPr="00515948" w:rsidRDefault="00A239CE" w:rsidP="00A239C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15948">
        <w:rPr>
          <w:b/>
          <w:lang w:val="en-US"/>
        </w:rPr>
        <w:t>Exam analysis in PDF format</w:t>
      </w:r>
    </w:p>
    <w:p w14:paraId="3DD64146" w14:textId="6A49A102" w:rsidR="00A239CE" w:rsidRDefault="00A239CE" w:rsidP="00A239CE">
      <w:pPr>
        <w:rPr>
          <w:bCs/>
          <w:lang w:val="en-US"/>
        </w:rPr>
      </w:pPr>
      <w:r>
        <w:rPr>
          <w:bCs/>
          <w:lang w:val="en-US"/>
        </w:rPr>
        <w:t>This report</w:t>
      </w:r>
      <w:r w:rsidR="00515948">
        <w:rPr>
          <w:bCs/>
          <w:lang w:val="en-US"/>
        </w:rPr>
        <w:t xml:space="preserve"> is also available as a </w:t>
      </w:r>
      <w:hyperlink r:id="rId13" w:history="1">
        <w:r w:rsidR="00515948" w:rsidRPr="00790B68">
          <w:rPr>
            <w:rStyle w:val="Hyperlink"/>
            <w:bCs/>
            <w:lang w:val="en-US"/>
          </w:rPr>
          <w:t>sample PDF</w:t>
        </w:r>
      </w:hyperlink>
      <w:bookmarkStart w:id="0" w:name="_GoBack"/>
      <w:bookmarkEnd w:id="0"/>
      <w:r w:rsidR="00515948">
        <w:rPr>
          <w:bCs/>
          <w:lang w:val="en-US"/>
        </w:rPr>
        <w:t>. It</w:t>
      </w:r>
      <w:r>
        <w:rPr>
          <w:bCs/>
          <w:lang w:val="en-US"/>
        </w:rPr>
        <w:t xml:space="preserve"> contains the following pages:</w:t>
      </w:r>
    </w:p>
    <w:p w14:paraId="5F92F8B0" w14:textId="77777777" w:rsidR="00A239CE" w:rsidRDefault="00A239CE" w:rsidP="00A239CE">
      <w:pPr>
        <w:pStyle w:val="ListParagraph"/>
        <w:numPr>
          <w:ilvl w:val="0"/>
          <w:numId w:val="4"/>
        </w:numPr>
        <w:rPr>
          <w:bCs/>
          <w:lang w:val="en-US"/>
        </w:rPr>
      </w:pPr>
      <w:r>
        <w:rPr>
          <w:bCs/>
          <w:lang w:val="en-US"/>
        </w:rPr>
        <w:t>Meta data report. This report contains the score to grade transformation.</w:t>
      </w:r>
    </w:p>
    <w:p w14:paraId="245B651C" w14:textId="77777777" w:rsidR="00A239CE" w:rsidRDefault="00A239CE" w:rsidP="00A239CE">
      <w:pPr>
        <w:pStyle w:val="ListParagraph"/>
        <w:numPr>
          <w:ilvl w:val="0"/>
          <w:numId w:val="4"/>
        </w:numPr>
        <w:rPr>
          <w:bCs/>
          <w:lang w:val="en-US"/>
        </w:rPr>
      </w:pPr>
      <w:r>
        <w:rPr>
          <w:bCs/>
          <w:lang w:val="en-US"/>
        </w:rPr>
        <w:lastRenderedPageBreak/>
        <w:t>Test analysis report. Statistical details for the entire test, including Crohnbach’s Alpha, P values, etc.</w:t>
      </w:r>
    </w:p>
    <w:p w14:paraId="6142AF99" w14:textId="77777777" w:rsidR="00A239CE" w:rsidRDefault="00A239CE" w:rsidP="00A239CE">
      <w:pPr>
        <w:pStyle w:val="ListParagraph"/>
        <w:numPr>
          <w:ilvl w:val="0"/>
          <w:numId w:val="4"/>
        </w:numPr>
        <w:rPr>
          <w:bCs/>
          <w:lang w:val="en-US"/>
        </w:rPr>
      </w:pPr>
      <w:r>
        <w:rPr>
          <w:bCs/>
          <w:lang w:val="en-US"/>
        </w:rPr>
        <w:t>Score frequency report</w:t>
      </w:r>
    </w:p>
    <w:p w14:paraId="565764E9" w14:textId="77777777" w:rsidR="00A239CE" w:rsidRDefault="00A239CE" w:rsidP="00A239CE">
      <w:pPr>
        <w:pStyle w:val="ListParagraph"/>
        <w:numPr>
          <w:ilvl w:val="0"/>
          <w:numId w:val="4"/>
        </w:numPr>
        <w:rPr>
          <w:bCs/>
          <w:lang w:val="en-US"/>
        </w:rPr>
      </w:pPr>
      <w:r>
        <w:rPr>
          <w:bCs/>
          <w:lang w:val="en-US"/>
        </w:rPr>
        <w:t>Item analysis report. P values and Rit values for each question.</w:t>
      </w:r>
    </w:p>
    <w:p w14:paraId="71C720CC" w14:textId="06A96638" w:rsidR="00A239CE" w:rsidRDefault="00A239CE" w:rsidP="00A239CE">
      <w:pPr>
        <w:pStyle w:val="ListParagraph"/>
        <w:numPr>
          <w:ilvl w:val="0"/>
          <w:numId w:val="4"/>
        </w:numPr>
        <w:rPr>
          <w:bCs/>
          <w:lang w:val="en-US"/>
        </w:rPr>
      </w:pPr>
      <w:r>
        <w:rPr>
          <w:bCs/>
          <w:lang w:val="en-US"/>
        </w:rPr>
        <w:t xml:space="preserve">Item advice report. </w:t>
      </w:r>
      <w:r w:rsidR="00D720FF">
        <w:rPr>
          <w:bCs/>
          <w:lang w:val="en-US"/>
        </w:rPr>
        <w:t xml:space="preserve">The exam questions plotted on a graph by </w:t>
      </w:r>
      <w:r w:rsidR="00A942DD">
        <w:rPr>
          <w:bCs/>
          <w:lang w:val="en-US"/>
        </w:rPr>
        <w:t>P x Rir</w:t>
      </w:r>
      <w:r w:rsidR="00D720FF">
        <w:rPr>
          <w:bCs/>
          <w:lang w:val="en-US"/>
        </w:rPr>
        <w:t xml:space="preserve"> value</w:t>
      </w:r>
      <w:r w:rsidR="00A942DD">
        <w:rPr>
          <w:bCs/>
          <w:lang w:val="en-US"/>
        </w:rPr>
        <w:t>s</w:t>
      </w:r>
      <w:r w:rsidR="00D720FF">
        <w:rPr>
          <w:bCs/>
          <w:lang w:val="en-US"/>
        </w:rPr>
        <w:t>, and a report on the quality of each question</w:t>
      </w:r>
      <w:r w:rsidR="00A942DD">
        <w:rPr>
          <w:bCs/>
          <w:lang w:val="en-US"/>
        </w:rPr>
        <w:t xml:space="preserve"> (see image below)</w:t>
      </w:r>
      <w:r w:rsidR="00D720FF">
        <w:rPr>
          <w:bCs/>
          <w:lang w:val="en-US"/>
        </w:rPr>
        <w:t>.</w:t>
      </w:r>
    </w:p>
    <w:p w14:paraId="7F42305C" w14:textId="77777777" w:rsidR="00D720FF" w:rsidRDefault="00D720FF" w:rsidP="00A239CE">
      <w:pPr>
        <w:pStyle w:val="ListParagraph"/>
        <w:numPr>
          <w:ilvl w:val="0"/>
          <w:numId w:val="4"/>
        </w:numPr>
        <w:rPr>
          <w:bCs/>
          <w:lang w:val="en-US"/>
        </w:rPr>
      </w:pPr>
      <w:r>
        <w:rPr>
          <w:bCs/>
          <w:lang w:val="en-US"/>
        </w:rPr>
        <w:t>Grading report. The same information that is contained in the Excel GradeBook (grades per student).</w:t>
      </w:r>
    </w:p>
    <w:p w14:paraId="2BC328E5" w14:textId="181F97BD" w:rsidR="00A942DD" w:rsidRDefault="00592494" w:rsidP="00D720FF">
      <w:pPr>
        <w:rPr>
          <w:bCs/>
          <w:lang w:val="en-US"/>
        </w:rPr>
      </w:pPr>
      <w:r>
        <w:rPr>
          <w:bCs/>
          <w:lang w:val="en-US"/>
        </w:rPr>
        <w:t>General i</w:t>
      </w:r>
      <w:r w:rsidR="00A942DD">
        <w:rPr>
          <w:bCs/>
          <w:lang w:val="en-US"/>
        </w:rPr>
        <w:t xml:space="preserve">nformation about test analysis and psychometric data analysis can be found on this website at </w:t>
      </w:r>
      <w:hyperlink r:id="rId14" w:history="1">
        <w:r w:rsidR="00A942DD" w:rsidRPr="002857AE">
          <w:rPr>
            <w:rStyle w:val="Hyperlink"/>
            <w:bCs/>
            <w:lang w:val="en-US"/>
          </w:rPr>
          <w:t>https://www.utwente.nl/ces/toetsing/Docenten/</w:t>
        </w:r>
      </w:hyperlink>
      <w:r w:rsidR="00A942DD">
        <w:rPr>
          <w:bCs/>
          <w:lang w:val="en-US"/>
        </w:rPr>
        <w:t>.</w:t>
      </w:r>
    </w:p>
    <w:p w14:paraId="1CA42589" w14:textId="77777777" w:rsidR="00515948" w:rsidRDefault="00D720FF" w:rsidP="00D720FF">
      <w:pPr>
        <w:rPr>
          <w:bCs/>
          <w:lang w:val="en-US"/>
        </w:rPr>
      </w:pPr>
      <w:r>
        <w:rPr>
          <w:bCs/>
          <w:lang w:val="en-US"/>
        </w:rPr>
        <w:t>Below is an example of the item advice report.</w:t>
      </w:r>
      <w:r w:rsidR="00515948">
        <w:rPr>
          <w:bCs/>
          <w:lang w:val="en-US"/>
        </w:rPr>
        <w:t xml:space="preserve"> It gives an indication of the quality of the questions (e.g. too easy, another alternative may have been plausible, etc.). </w:t>
      </w:r>
    </w:p>
    <w:p w14:paraId="29463C2C" w14:textId="6040BB9B" w:rsidR="00D720FF" w:rsidRDefault="00D720FF" w:rsidP="00D720FF">
      <w:pPr>
        <w:rPr>
          <w:bCs/>
          <w:lang w:val="en-US"/>
        </w:rPr>
      </w:pPr>
      <w:r>
        <w:rPr>
          <w:bCs/>
          <w:lang w:val="en-US"/>
        </w:rPr>
        <w:t>If the lecturers decide that a certain exam question contained an error and needs to be excluded from the exam, the exam can be recalculated and new reports can be generated.</w:t>
      </w:r>
    </w:p>
    <w:p w14:paraId="067F3C7B" w14:textId="77777777" w:rsidR="00D720FF" w:rsidRDefault="00D720FF" w:rsidP="00D720FF">
      <w:pPr>
        <w:rPr>
          <w:bCs/>
          <w:lang w:val="en-US"/>
        </w:rPr>
      </w:pPr>
      <w:r>
        <w:rPr>
          <w:bCs/>
          <w:noProof/>
          <w:lang w:val="en-US"/>
        </w:rPr>
        <w:lastRenderedPageBreak/>
        <w:drawing>
          <wp:inline distT="0" distB="0" distL="0" distR="0" wp14:anchorId="5A3FDBA7" wp14:editId="08B84992">
            <wp:extent cx="5167223" cy="6514024"/>
            <wp:effectExtent l="57150" t="19050" r="52705" b="96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976" cy="65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438DEB" w14:textId="77777777" w:rsidR="00515948" w:rsidRPr="00515948" w:rsidRDefault="00515948" w:rsidP="0051594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15948">
        <w:rPr>
          <w:b/>
          <w:bCs/>
          <w:lang w:val="en-US"/>
        </w:rPr>
        <w:t>A PDF containing the scans of all student forms</w:t>
      </w:r>
    </w:p>
    <w:p w14:paraId="12FB99D6" w14:textId="4C3E5382" w:rsidR="00515948" w:rsidRDefault="00515948" w:rsidP="00515948">
      <w:pPr>
        <w:rPr>
          <w:bCs/>
          <w:lang w:val="en-US"/>
        </w:rPr>
      </w:pPr>
      <w:r>
        <w:rPr>
          <w:bCs/>
          <w:lang w:val="en-US"/>
        </w:rPr>
        <w:t>This PDF can be useful for archiving and/or student review.</w:t>
      </w:r>
      <w:r w:rsidR="00A942DD">
        <w:rPr>
          <w:bCs/>
          <w:lang w:val="en-US"/>
        </w:rPr>
        <w:t xml:space="preserve"> </w:t>
      </w:r>
      <w:r w:rsidR="00AB548A">
        <w:rPr>
          <w:bCs/>
          <w:lang w:val="en-US"/>
        </w:rPr>
        <w:t xml:space="preserve">One page is included as an example in </w:t>
      </w:r>
      <w:hyperlink r:id="rId16" w:history="1">
        <w:r w:rsidR="00AB548A" w:rsidRPr="00790B68">
          <w:rPr>
            <w:rStyle w:val="Hyperlink"/>
            <w:bCs/>
            <w:lang w:val="en-US"/>
          </w:rPr>
          <w:t>this sample PDF</w:t>
        </w:r>
      </w:hyperlink>
      <w:r w:rsidR="00AB548A">
        <w:rPr>
          <w:bCs/>
          <w:lang w:val="en-US"/>
        </w:rPr>
        <w:t xml:space="preserve"> (the actual file is quite large, as it contains one page per student).</w:t>
      </w:r>
    </w:p>
    <w:p w14:paraId="3723B044" w14:textId="77777777" w:rsidR="00AB548A" w:rsidRDefault="00AB548A" w:rsidP="00515948">
      <w:pPr>
        <w:rPr>
          <w:bCs/>
          <w:lang w:val="en-US"/>
        </w:rPr>
      </w:pPr>
    </w:p>
    <w:p w14:paraId="7184E64F" w14:textId="128445F6" w:rsidR="00362FCC" w:rsidRPr="00362FCC" w:rsidRDefault="00362FCC" w:rsidP="00362FCC">
      <w:pPr>
        <w:pStyle w:val="Heading5"/>
        <w:rPr>
          <w:b w:val="0"/>
          <w:lang w:val="en-US"/>
        </w:rPr>
      </w:pPr>
      <w:r w:rsidRPr="00362FCC">
        <w:rPr>
          <w:b w:val="0"/>
          <w:lang w:val="en-US"/>
        </w:rPr>
        <w:t>More information</w:t>
      </w:r>
    </w:p>
    <w:p w14:paraId="679E25D0" w14:textId="51DC72C7" w:rsidR="00AB548A" w:rsidRDefault="00AB548A" w:rsidP="00515948">
      <w:pPr>
        <w:rPr>
          <w:bCs/>
          <w:lang w:val="en-US"/>
        </w:rPr>
      </w:pPr>
      <w:r>
        <w:rPr>
          <w:lang w:val="en-US"/>
        </w:rPr>
        <w:t xml:space="preserve">If you’d like to use this service, please see the </w:t>
      </w:r>
      <w:hyperlink r:id="rId17" w:history="1">
        <w:r w:rsidRPr="00790B68">
          <w:rPr>
            <w:rStyle w:val="Hyperlink"/>
            <w:lang w:val="en-US"/>
          </w:rPr>
          <w:t>TELT website</w:t>
        </w:r>
      </w:hyperlink>
      <w:r>
        <w:rPr>
          <w:lang w:val="en-US"/>
        </w:rPr>
        <w:t xml:space="preserve"> for </w:t>
      </w:r>
      <w:r w:rsidR="00362FCC">
        <w:rPr>
          <w:lang w:val="en-US"/>
        </w:rPr>
        <w:t>instructions.</w:t>
      </w:r>
    </w:p>
    <w:p w14:paraId="6F2DF96A" w14:textId="53334903" w:rsidR="00AB548A" w:rsidRPr="00AB548A" w:rsidRDefault="00AB548A" w:rsidP="00515948">
      <w:pPr>
        <w:rPr>
          <w:bCs/>
          <w:lang w:val="en-US"/>
        </w:rPr>
      </w:pPr>
      <w:r>
        <w:rPr>
          <w:bCs/>
          <w:lang w:val="en-US"/>
        </w:rPr>
        <w:t>If you have any questions</w:t>
      </w:r>
      <w:r w:rsidR="00362FCC">
        <w:rPr>
          <w:bCs/>
          <w:lang w:val="en-US"/>
        </w:rPr>
        <w:t xml:space="preserve"> about the reports</w:t>
      </w:r>
      <w:r>
        <w:rPr>
          <w:bCs/>
          <w:lang w:val="en-US"/>
        </w:rPr>
        <w:t xml:space="preserve">, please contact your </w:t>
      </w:r>
      <w:hyperlink r:id="rId18" w:history="1">
        <w:r w:rsidRPr="00AB548A">
          <w:rPr>
            <w:rStyle w:val="Hyperlink"/>
            <w:bCs/>
            <w:lang w:val="en-US"/>
          </w:rPr>
          <w:t xml:space="preserve">faculty education </w:t>
        </w:r>
        <w:r>
          <w:rPr>
            <w:rStyle w:val="Hyperlink"/>
            <w:bCs/>
            <w:lang w:val="en-US"/>
          </w:rPr>
          <w:t>advisor</w:t>
        </w:r>
      </w:hyperlink>
      <w:r>
        <w:rPr>
          <w:bCs/>
          <w:lang w:val="en-US"/>
        </w:rPr>
        <w:t>.</w:t>
      </w:r>
    </w:p>
    <w:p w14:paraId="2E6A040C" w14:textId="189ABDC7" w:rsidR="00515948" w:rsidRPr="00515948" w:rsidRDefault="00515948" w:rsidP="00515948">
      <w:pPr>
        <w:pStyle w:val="ListParagraph"/>
        <w:rPr>
          <w:bCs/>
          <w:lang w:val="en-US"/>
        </w:rPr>
      </w:pPr>
    </w:p>
    <w:sectPr w:rsidR="00515948" w:rsidRPr="00515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638F" w14:textId="77777777" w:rsidR="00FA3885" w:rsidRDefault="00FA3885" w:rsidP="00420DB2">
      <w:pPr>
        <w:spacing w:after="0" w:line="240" w:lineRule="auto"/>
      </w:pPr>
      <w:r>
        <w:separator/>
      </w:r>
    </w:p>
  </w:endnote>
  <w:endnote w:type="continuationSeparator" w:id="0">
    <w:p w14:paraId="7082C67E" w14:textId="77777777" w:rsidR="00FA3885" w:rsidRDefault="00FA3885" w:rsidP="0042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53DF" w14:textId="77777777" w:rsidR="00FA3885" w:rsidRDefault="00FA3885" w:rsidP="00420DB2">
      <w:pPr>
        <w:spacing w:after="0" w:line="240" w:lineRule="auto"/>
      </w:pPr>
      <w:r>
        <w:separator/>
      </w:r>
    </w:p>
  </w:footnote>
  <w:footnote w:type="continuationSeparator" w:id="0">
    <w:p w14:paraId="49621C96" w14:textId="77777777" w:rsidR="00FA3885" w:rsidRDefault="00FA3885" w:rsidP="0042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02D2"/>
    <w:multiLevelType w:val="hybridMultilevel"/>
    <w:tmpl w:val="EB2A31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761"/>
    <w:multiLevelType w:val="hybridMultilevel"/>
    <w:tmpl w:val="EB2A31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14837"/>
    <w:multiLevelType w:val="hybridMultilevel"/>
    <w:tmpl w:val="5F106C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EA4"/>
    <w:multiLevelType w:val="hybridMultilevel"/>
    <w:tmpl w:val="EB2A31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5"/>
    <w:rsid w:val="00230008"/>
    <w:rsid w:val="00362FCC"/>
    <w:rsid w:val="00420DB2"/>
    <w:rsid w:val="00461575"/>
    <w:rsid w:val="00480172"/>
    <w:rsid w:val="004820F9"/>
    <w:rsid w:val="00515948"/>
    <w:rsid w:val="00527AF4"/>
    <w:rsid w:val="00592494"/>
    <w:rsid w:val="00790B68"/>
    <w:rsid w:val="007A2FC5"/>
    <w:rsid w:val="0092043E"/>
    <w:rsid w:val="00A239CE"/>
    <w:rsid w:val="00A60E9D"/>
    <w:rsid w:val="00A82B0D"/>
    <w:rsid w:val="00A942DD"/>
    <w:rsid w:val="00AB548A"/>
    <w:rsid w:val="00AB7132"/>
    <w:rsid w:val="00AC0A31"/>
    <w:rsid w:val="00D720FF"/>
    <w:rsid w:val="00DF732C"/>
    <w:rsid w:val="00F0205E"/>
    <w:rsid w:val="00F04FF8"/>
    <w:rsid w:val="00F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BC2B"/>
  <w15:chartTrackingRefBased/>
  <w15:docId w15:val="{42D94615-C9FF-4862-B304-9EDA27D4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15948"/>
    <w:pPr>
      <w:keepNext/>
      <w:tabs>
        <w:tab w:val="num" w:pos="868"/>
      </w:tabs>
      <w:spacing w:before="240" w:after="0" w:line="240" w:lineRule="atLeast"/>
      <w:ind w:left="238" w:hanging="238"/>
      <w:outlineLvl w:val="2"/>
    </w:pPr>
    <w:rPr>
      <w:rFonts w:ascii="Arial" w:eastAsia="Times New Roman" w:hAnsi="Arial" w:cs="Arial"/>
      <w:bCs/>
      <w:kern w:val="32"/>
      <w:sz w:val="20"/>
      <w:szCs w:val="26"/>
      <w:lang w:eastAsia="nl-NL"/>
    </w:rPr>
  </w:style>
  <w:style w:type="paragraph" w:styleId="Heading5">
    <w:name w:val="heading 5"/>
    <w:basedOn w:val="Normal"/>
    <w:next w:val="Normal"/>
    <w:link w:val="Heading5Char"/>
    <w:qFormat/>
    <w:rsid w:val="00515948"/>
    <w:pPr>
      <w:spacing w:before="240" w:after="60" w:line="240" w:lineRule="atLeast"/>
      <w:outlineLvl w:val="4"/>
    </w:pPr>
    <w:rPr>
      <w:rFonts w:ascii="Verdana" w:eastAsia="Times New Roman" w:hAnsi="Verdana" w:cs="Arial"/>
      <w:b/>
      <w:bCs/>
      <w:iCs/>
      <w:caps/>
      <w:kern w:val="32"/>
      <w:sz w:val="24"/>
      <w:szCs w:val="2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F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20FF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515948"/>
    <w:rPr>
      <w:rFonts w:ascii="Verdana" w:eastAsia="Times New Roman" w:hAnsi="Verdana" w:cs="Arial"/>
      <w:b/>
      <w:bCs/>
      <w:iCs/>
      <w:caps/>
      <w:kern w:val="32"/>
      <w:sz w:val="24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rsid w:val="00515948"/>
    <w:rPr>
      <w:rFonts w:ascii="Arial" w:eastAsia="Times New Roman" w:hAnsi="Arial" w:cs="Arial"/>
      <w:bCs/>
      <w:kern w:val="32"/>
      <w:sz w:val="20"/>
      <w:szCs w:val="2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42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B2"/>
  </w:style>
  <w:style w:type="paragraph" w:styleId="Footer">
    <w:name w:val="footer"/>
    <w:basedOn w:val="Normal"/>
    <w:link w:val="FooterChar"/>
    <w:uiPriority w:val="99"/>
    <w:unhideWhenUsed/>
    <w:rsid w:val="0042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en/telt/solutions/ConTest/" TargetMode="External"/><Relationship Id="rId13" Type="http://schemas.openxmlformats.org/officeDocument/2006/relationships/hyperlink" Target="https://www.utwente.nl/en/telt/solutions/AdditionalMaterials/formscan-sample.pdf" TargetMode="External"/><Relationship Id="rId18" Type="http://schemas.openxmlformats.org/officeDocument/2006/relationships/hyperlink" Target="https://www.utwente.nl/en/ces/celt/who-we-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twente.nl/en/ces/celt/who-we-are/" TargetMode="External"/><Relationship Id="rId17" Type="http://schemas.openxmlformats.org/officeDocument/2006/relationships/hyperlink" Target="https://www.utwente.nl/en/telt/solutions/ConTest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P:\PROJECTS\TELT\Thema%204%20-%20Assessment\ConTest\Webteksten\FormScan_SAMPL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wente.nl/en/telt/solutions/AdditionalMaterials/reportbook-sample.xl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utwente.nl/en/telt/solutions/AdditionalMaterials/testdata-sample.cs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iliumdcs.com/?menu=487" TargetMode="External"/><Relationship Id="rId14" Type="http://schemas.openxmlformats.org/officeDocument/2006/relationships/hyperlink" Target="https://www.utwente.nl/ces/toetsing/Docen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5D7C-A0EC-411C-977F-77E3BF11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Bergmans</dc:creator>
  <cp:keywords/>
  <dc:description/>
  <cp:lastModifiedBy>Luttikhuis, M.G. (CES)</cp:lastModifiedBy>
  <cp:revision>3</cp:revision>
  <dcterms:created xsi:type="dcterms:W3CDTF">2017-02-28T11:06:00Z</dcterms:created>
  <dcterms:modified xsi:type="dcterms:W3CDTF">2017-03-01T09:26:00Z</dcterms:modified>
</cp:coreProperties>
</file>