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5E2D" w14:textId="02352227" w:rsidR="002F0BC9" w:rsidRDefault="009164DC" w:rsidP="002F0BC9">
      <w:pPr>
        <w:pStyle w:val="Heading1"/>
      </w:pPr>
      <w:r>
        <w:t>Plan of approach</w:t>
      </w:r>
      <w:r w:rsidR="002F0BC9" w:rsidRPr="002F0BC9">
        <w:t xml:space="preserve"> on SUEQ</w:t>
      </w:r>
    </w:p>
    <w:p w14:paraId="71A6C109" w14:textId="075C8D6E" w:rsidR="002F0BC9" w:rsidRPr="002F0BC9" w:rsidRDefault="002F0BC9" w:rsidP="002F0BC9">
      <w:pPr>
        <w:pStyle w:val="Heading3"/>
      </w:pPr>
      <w:r w:rsidRPr="002F0BC9">
        <w:t>Rachel Scott 13</w:t>
      </w:r>
      <w:r w:rsidRPr="002F0BC9">
        <w:rPr>
          <w:vertAlign w:val="superscript"/>
        </w:rPr>
        <w:t>th</w:t>
      </w:r>
      <w:r w:rsidRPr="002F0BC9">
        <w:t xml:space="preserve"> October 2023</w:t>
      </w:r>
    </w:p>
    <w:p w14:paraId="66A580E8" w14:textId="77777777" w:rsidR="002F0BC9" w:rsidRDefault="002F0BC9" w:rsidP="002F0BC9">
      <w:pPr>
        <w:pStyle w:val="NormalWeb"/>
        <w:spacing w:before="0" w:beforeAutospacing="0" w:after="0" w:afterAutospacing="0"/>
        <w:rPr>
          <w:rFonts w:ascii="Calibri" w:hAnsi="Calibri" w:cs="Calibri"/>
          <w:sz w:val="22"/>
          <w:szCs w:val="22"/>
        </w:rPr>
      </w:pPr>
    </w:p>
    <w:p w14:paraId="28924C85" w14:textId="77777777" w:rsidR="005571DB" w:rsidRDefault="005571DB" w:rsidP="009F2C75">
      <w:pPr>
        <w:pStyle w:val="NormalWeb"/>
        <w:spacing w:after="0"/>
        <w:rPr>
          <w:rFonts w:ascii="Calibri" w:hAnsi="Calibri" w:cs="Calibri"/>
        </w:rPr>
      </w:pPr>
      <w:r w:rsidRPr="005571DB">
        <w:rPr>
          <w:rFonts w:ascii="Calibri" w:hAnsi="Calibri" w:cs="Calibri"/>
        </w:rPr>
        <w:t>As a programme coordinator, my awareness of challenges surrounding the examination review process stemmed from direct interactions with examiners, students, and teachers encountering various concerns during these assessments. Initially, my focus was on addressing immediate issues, yet it was only after a considerable period that I recognized the absence of standardi</w:t>
      </w:r>
      <w:r>
        <w:rPr>
          <w:rFonts w:ascii="Calibri" w:hAnsi="Calibri" w:cs="Calibri"/>
        </w:rPr>
        <w:t>s</w:t>
      </w:r>
      <w:r w:rsidRPr="005571DB">
        <w:rPr>
          <w:rFonts w:ascii="Calibri" w:hAnsi="Calibri" w:cs="Calibri"/>
        </w:rPr>
        <w:t>ed guidelines might underlie inconsistencies across faculties and programmes at UT</w:t>
      </w:r>
      <w:r w:rsidR="009F2C75" w:rsidRPr="009F2C75">
        <w:rPr>
          <w:rFonts w:ascii="Calibri" w:hAnsi="Calibri" w:cs="Calibri"/>
        </w:rPr>
        <w:t xml:space="preserve">. </w:t>
      </w:r>
    </w:p>
    <w:p w14:paraId="06282679" w14:textId="00A57A90" w:rsidR="00395713" w:rsidRPr="00395713" w:rsidRDefault="009F2C75" w:rsidP="00395713">
      <w:pPr>
        <w:pStyle w:val="NormalWeb"/>
        <w:spacing w:after="0"/>
        <w:rPr>
          <w:rFonts w:ascii="Calibri" w:hAnsi="Calibri" w:cs="Calibri"/>
        </w:rPr>
      </w:pPr>
      <w:r w:rsidRPr="009F2C75">
        <w:rPr>
          <w:rFonts w:ascii="Calibri" w:hAnsi="Calibri" w:cs="Calibri"/>
        </w:rPr>
        <w:t xml:space="preserve">My </w:t>
      </w:r>
      <w:r w:rsidR="004158BA">
        <w:rPr>
          <w:rFonts w:ascii="Calibri" w:hAnsi="Calibri" w:cs="Calibri"/>
        </w:rPr>
        <w:t xml:space="preserve">further </w:t>
      </w:r>
      <w:r w:rsidRPr="009F2C75">
        <w:rPr>
          <w:rFonts w:ascii="Calibri" w:hAnsi="Calibri" w:cs="Calibri"/>
        </w:rPr>
        <w:t xml:space="preserve">investigation </w:t>
      </w:r>
      <w:r w:rsidR="007E0A3C" w:rsidRPr="007E0A3C">
        <w:rPr>
          <w:rFonts w:ascii="Calibri" w:hAnsi="Calibri" w:cs="Calibri"/>
        </w:rPr>
        <w:t>demanded a methodical and comprehensive approach.</w:t>
      </w:r>
      <w:r w:rsidRPr="009F2C75">
        <w:rPr>
          <w:rFonts w:ascii="Calibri" w:hAnsi="Calibri" w:cs="Calibri"/>
        </w:rPr>
        <w:t xml:space="preserve"> </w:t>
      </w:r>
    </w:p>
    <w:p w14:paraId="7DEE28C4" w14:textId="1481F407" w:rsidR="009F2C75" w:rsidRDefault="006B3DE9" w:rsidP="009F2C75">
      <w:pPr>
        <w:pStyle w:val="NormalWeb"/>
        <w:spacing w:after="0"/>
        <w:rPr>
          <w:rFonts w:ascii="Calibri" w:hAnsi="Calibri" w:cs="Calibri"/>
        </w:rPr>
      </w:pPr>
      <w:r>
        <w:rPr>
          <w:rFonts w:ascii="Calibri" w:hAnsi="Calibri" w:cs="Calibri"/>
        </w:rPr>
        <w:t>I underto</w:t>
      </w:r>
      <w:r w:rsidR="00E477B6">
        <w:rPr>
          <w:rFonts w:ascii="Calibri" w:hAnsi="Calibri" w:cs="Calibri"/>
        </w:rPr>
        <w:t xml:space="preserve">ok </w:t>
      </w:r>
      <w:r w:rsidR="009F2C75" w:rsidRPr="009F2C75">
        <w:rPr>
          <w:rFonts w:ascii="Calibri" w:hAnsi="Calibri" w:cs="Calibri"/>
        </w:rPr>
        <w:t xml:space="preserve">extensive </w:t>
      </w:r>
      <w:r w:rsidR="00C62A04">
        <w:rPr>
          <w:rFonts w:ascii="Calibri" w:hAnsi="Calibri" w:cs="Calibri"/>
        </w:rPr>
        <w:t>discussion</w:t>
      </w:r>
      <w:r w:rsidR="0052392C">
        <w:rPr>
          <w:rFonts w:ascii="Calibri" w:hAnsi="Calibri" w:cs="Calibri"/>
        </w:rPr>
        <w:t xml:space="preserve">s with </w:t>
      </w:r>
      <w:r w:rsidR="002D73A7">
        <w:rPr>
          <w:rFonts w:ascii="Calibri" w:hAnsi="Calibri" w:cs="Calibri"/>
        </w:rPr>
        <w:t>diverse</w:t>
      </w:r>
      <w:r w:rsidR="0052392C">
        <w:rPr>
          <w:rFonts w:ascii="Calibri" w:hAnsi="Calibri" w:cs="Calibri"/>
        </w:rPr>
        <w:t xml:space="preserve"> stakeholders</w:t>
      </w:r>
      <w:r w:rsidR="00A12B0A">
        <w:rPr>
          <w:rFonts w:ascii="Calibri" w:hAnsi="Calibri" w:cs="Calibri"/>
        </w:rPr>
        <w:t xml:space="preserve"> to gain an understanding of their needs</w:t>
      </w:r>
      <w:r w:rsidR="0052392C">
        <w:rPr>
          <w:rFonts w:ascii="Calibri" w:hAnsi="Calibri" w:cs="Calibri"/>
        </w:rPr>
        <w:t xml:space="preserve">. </w:t>
      </w:r>
      <w:r w:rsidR="001D7663" w:rsidRPr="00395713">
        <w:rPr>
          <w:rFonts w:ascii="Calibri" w:hAnsi="Calibri" w:cs="Calibri"/>
        </w:rPr>
        <w:t>The choice of stakeholders was deliberat</w:t>
      </w:r>
      <w:r w:rsidR="001D7663">
        <w:rPr>
          <w:rFonts w:ascii="Calibri" w:hAnsi="Calibri" w:cs="Calibri"/>
        </w:rPr>
        <w:t>e, encompassing a mix of firsthand experiences and expert insights.</w:t>
      </w:r>
      <w:r w:rsidR="003628BD">
        <w:rPr>
          <w:rFonts w:ascii="Calibri" w:hAnsi="Calibri" w:cs="Calibri"/>
        </w:rPr>
        <w:t xml:space="preserve"> </w:t>
      </w:r>
      <w:r w:rsidR="0052392C">
        <w:rPr>
          <w:rFonts w:ascii="Calibri" w:hAnsi="Calibri" w:cs="Calibri"/>
        </w:rPr>
        <w:t>I spoke</w:t>
      </w:r>
      <w:r w:rsidR="009F2C75" w:rsidRPr="009F2C75">
        <w:rPr>
          <w:rFonts w:ascii="Calibri" w:hAnsi="Calibri" w:cs="Calibri"/>
        </w:rPr>
        <w:t xml:space="preserve"> with ten examiners</w:t>
      </w:r>
      <w:r w:rsidR="002E7E03">
        <w:rPr>
          <w:rFonts w:ascii="Calibri" w:hAnsi="Calibri" w:cs="Calibri"/>
        </w:rPr>
        <w:t xml:space="preserve"> </w:t>
      </w:r>
      <w:r w:rsidR="000E216F">
        <w:rPr>
          <w:rFonts w:ascii="Calibri" w:hAnsi="Calibri" w:cs="Calibri"/>
        </w:rPr>
        <w:t xml:space="preserve">across four different sections covering multiple programmes </w:t>
      </w:r>
      <w:r w:rsidR="002E7E03">
        <w:rPr>
          <w:rFonts w:ascii="Calibri" w:hAnsi="Calibri" w:cs="Calibri"/>
        </w:rPr>
        <w:t>to hear about their experience of the examination review.</w:t>
      </w:r>
      <w:r w:rsidR="00F54B77">
        <w:rPr>
          <w:rFonts w:ascii="Calibri" w:hAnsi="Calibri" w:cs="Calibri"/>
        </w:rPr>
        <w:t xml:space="preserve"> </w:t>
      </w:r>
      <w:r w:rsidR="00C714E4" w:rsidRPr="00C714E4">
        <w:rPr>
          <w:rFonts w:ascii="Calibri" w:hAnsi="Calibri" w:cs="Calibri"/>
        </w:rPr>
        <w:t>Engaging with ten examiners from multiple programmes and four IBA students offered firsthand accounts</w:t>
      </w:r>
      <w:r w:rsidR="003628BD" w:rsidRPr="003628BD">
        <w:rPr>
          <w:rFonts w:ascii="Calibri" w:hAnsi="Calibri" w:cs="Calibri"/>
        </w:rPr>
        <w:t xml:space="preserve"> </w:t>
      </w:r>
      <w:r w:rsidR="003628BD" w:rsidRPr="00395713">
        <w:rPr>
          <w:rFonts w:ascii="Calibri" w:hAnsi="Calibri" w:cs="Calibri"/>
        </w:rPr>
        <w:t xml:space="preserve">that shed light on the </w:t>
      </w:r>
      <w:r w:rsidR="003628BD">
        <w:rPr>
          <w:rFonts w:ascii="Calibri" w:hAnsi="Calibri" w:cs="Calibri"/>
        </w:rPr>
        <w:t>various</w:t>
      </w:r>
      <w:r w:rsidR="003628BD" w:rsidRPr="00395713">
        <w:rPr>
          <w:rFonts w:ascii="Calibri" w:hAnsi="Calibri" w:cs="Calibri"/>
        </w:rPr>
        <w:t xml:space="preserve"> challenges encountered</w:t>
      </w:r>
      <w:r w:rsidR="003628BD">
        <w:rPr>
          <w:rFonts w:ascii="Calibri" w:hAnsi="Calibri" w:cs="Calibri"/>
        </w:rPr>
        <w:t xml:space="preserve"> by the different groups</w:t>
      </w:r>
      <w:r w:rsidR="00C714E4" w:rsidRPr="00C714E4">
        <w:rPr>
          <w:rFonts w:ascii="Calibri" w:hAnsi="Calibri" w:cs="Calibri"/>
        </w:rPr>
        <w:t>, while discussions with two other programme coordinators broadened the perspective.</w:t>
      </w:r>
      <w:r w:rsidR="004209C0">
        <w:rPr>
          <w:rFonts w:ascii="Calibri" w:hAnsi="Calibri" w:cs="Calibri"/>
        </w:rPr>
        <w:t xml:space="preserve"> </w:t>
      </w:r>
    </w:p>
    <w:p w14:paraId="53AB04F7" w14:textId="16F97967" w:rsidR="0011204B" w:rsidRDefault="002E7E03" w:rsidP="009F2C75">
      <w:pPr>
        <w:pStyle w:val="NormalWeb"/>
        <w:spacing w:after="0"/>
        <w:rPr>
          <w:rFonts w:ascii="Calibri" w:hAnsi="Calibri" w:cs="Calibri"/>
        </w:rPr>
      </w:pPr>
      <w:r>
        <w:rPr>
          <w:rFonts w:ascii="Calibri" w:hAnsi="Calibri" w:cs="Calibri"/>
        </w:rPr>
        <w:t xml:space="preserve">I looked extensively at the </w:t>
      </w:r>
      <w:r w:rsidR="00DA720B">
        <w:rPr>
          <w:rFonts w:ascii="Calibri" w:hAnsi="Calibri" w:cs="Calibri"/>
        </w:rPr>
        <w:t xml:space="preserve">existing </w:t>
      </w:r>
      <w:r w:rsidR="00302121">
        <w:rPr>
          <w:rFonts w:ascii="Calibri" w:hAnsi="Calibri" w:cs="Calibri"/>
        </w:rPr>
        <w:t xml:space="preserve">guidelines </w:t>
      </w:r>
      <w:r w:rsidR="00DA720B">
        <w:rPr>
          <w:rFonts w:ascii="Calibri" w:hAnsi="Calibri" w:cs="Calibri"/>
        </w:rPr>
        <w:t xml:space="preserve">available at the UT </w:t>
      </w:r>
      <w:r w:rsidR="00302121">
        <w:rPr>
          <w:rFonts w:ascii="Calibri" w:hAnsi="Calibri" w:cs="Calibri"/>
        </w:rPr>
        <w:t>and legal frameworks</w:t>
      </w:r>
      <w:r w:rsidR="00161251">
        <w:rPr>
          <w:rFonts w:ascii="Calibri" w:hAnsi="Calibri" w:cs="Calibri"/>
        </w:rPr>
        <w:t>.</w:t>
      </w:r>
      <w:r w:rsidR="003D0437" w:rsidRPr="003D0437">
        <w:rPr>
          <w:rFonts w:ascii="Segoe UI" w:eastAsiaTheme="minorHAnsi" w:hAnsi="Segoe UI" w:cs="Segoe UI"/>
          <w:color w:val="0F0F0F"/>
          <w:kern w:val="2"/>
          <w:sz w:val="22"/>
          <w:szCs w:val="22"/>
          <w:lang w:eastAsia="en-US"/>
          <w14:ligatures w14:val="standardContextual"/>
        </w:rPr>
        <w:t xml:space="preserve"> </w:t>
      </w:r>
      <w:r w:rsidR="003D0437" w:rsidRPr="003D0437">
        <w:rPr>
          <w:rFonts w:ascii="Calibri" w:hAnsi="Calibri" w:cs="Calibri"/>
        </w:rPr>
        <w:t xml:space="preserve">These documents served as foundational resources, enabling a comprehensive understanding of existing frameworks and </w:t>
      </w:r>
      <w:r w:rsidR="002A2298">
        <w:rPr>
          <w:rFonts w:ascii="Calibri" w:hAnsi="Calibri" w:cs="Calibri"/>
        </w:rPr>
        <w:t>identifying</w:t>
      </w:r>
      <w:r w:rsidR="003D0437" w:rsidRPr="003D0437">
        <w:rPr>
          <w:rFonts w:ascii="Calibri" w:hAnsi="Calibri" w:cs="Calibri"/>
        </w:rPr>
        <w:t xml:space="preserve"> </w:t>
      </w:r>
      <w:r w:rsidR="002A2298">
        <w:rPr>
          <w:rFonts w:ascii="Calibri" w:hAnsi="Calibri" w:cs="Calibri"/>
        </w:rPr>
        <w:t>areas where information was lacking</w:t>
      </w:r>
      <w:r w:rsidR="0011204B">
        <w:rPr>
          <w:rFonts w:ascii="Calibri" w:hAnsi="Calibri" w:cs="Calibri"/>
        </w:rPr>
        <w:t>:</w:t>
      </w:r>
    </w:p>
    <w:p w14:paraId="512B8C83" w14:textId="3484AA08" w:rsidR="0011204B" w:rsidRDefault="000C754E" w:rsidP="0011204B">
      <w:pPr>
        <w:pStyle w:val="NormalWeb"/>
        <w:numPr>
          <w:ilvl w:val="0"/>
          <w:numId w:val="5"/>
        </w:numPr>
        <w:spacing w:after="0"/>
        <w:rPr>
          <w:rFonts w:ascii="Calibri" w:hAnsi="Calibri" w:cs="Calibri"/>
        </w:rPr>
      </w:pPr>
      <w:r>
        <w:rPr>
          <w:rFonts w:ascii="Calibri" w:hAnsi="Calibri" w:cs="Calibri"/>
        </w:rPr>
        <w:t>E</w:t>
      </w:r>
      <w:r w:rsidR="0011204B">
        <w:rPr>
          <w:rFonts w:ascii="Calibri" w:hAnsi="Calibri" w:cs="Calibri"/>
        </w:rPr>
        <w:t xml:space="preserve">ducation and Examination Regulations of the </w:t>
      </w:r>
      <w:r w:rsidR="00CD7032">
        <w:rPr>
          <w:rFonts w:ascii="Calibri" w:hAnsi="Calibri" w:cs="Calibri"/>
        </w:rPr>
        <w:t>BMS faculty</w:t>
      </w:r>
      <w:r w:rsidR="007D277F">
        <w:rPr>
          <w:rFonts w:ascii="Calibri" w:hAnsi="Calibri" w:cs="Calibri"/>
        </w:rPr>
        <w:t xml:space="preserve"> 2023-2024</w:t>
      </w:r>
    </w:p>
    <w:p w14:paraId="214DDF61" w14:textId="0DBECFEF" w:rsidR="0011204B" w:rsidRDefault="000C754E" w:rsidP="0011204B">
      <w:pPr>
        <w:pStyle w:val="NormalWeb"/>
        <w:numPr>
          <w:ilvl w:val="0"/>
          <w:numId w:val="5"/>
        </w:numPr>
        <w:spacing w:after="0"/>
        <w:rPr>
          <w:rFonts w:ascii="Calibri" w:hAnsi="Calibri" w:cs="Calibri"/>
        </w:rPr>
      </w:pPr>
      <w:r>
        <w:rPr>
          <w:rFonts w:ascii="Calibri" w:hAnsi="Calibri" w:cs="Calibri"/>
        </w:rPr>
        <w:t>Rules &amp; Guid</w:t>
      </w:r>
      <w:r w:rsidR="00186F32">
        <w:rPr>
          <w:rFonts w:ascii="Calibri" w:hAnsi="Calibri" w:cs="Calibri"/>
        </w:rPr>
        <w:t xml:space="preserve">elines of the Examination Board </w:t>
      </w:r>
      <w:r w:rsidR="007D277F">
        <w:rPr>
          <w:rFonts w:ascii="Calibri" w:hAnsi="Calibri" w:cs="Calibri"/>
        </w:rPr>
        <w:t xml:space="preserve">of the </w:t>
      </w:r>
      <w:r w:rsidR="0011204B">
        <w:rPr>
          <w:rFonts w:ascii="Calibri" w:hAnsi="Calibri" w:cs="Calibri"/>
        </w:rPr>
        <w:t>BMS</w:t>
      </w:r>
      <w:r w:rsidR="007D277F">
        <w:rPr>
          <w:rFonts w:ascii="Calibri" w:hAnsi="Calibri" w:cs="Calibri"/>
        </w:rPr>
        <w:t xml:space="preserve"> faculty 2023-2024</w:t>
      </w:r>
    </w:p>
    <w:p w14:paraId="07E0D16F" w14:textId="3D78A89F" w:rsidR="0011204B" w:rsidRDefault="005C10DE" w:rsidP="0011204B">
      <w:pPr>
        <w:pStyle w:val="NormalWeb"/>
        <w:numPr>
          <w:ilvl w:val="0"/>
          <w:numId w:val="5"/>
        </w:numPr>
        <w:spacing w:after="0"/>
        <w:rPr>
          <w:rFonts w:ascii="Calibri" w:hAnsi="Calibri" w:cs="Calibri"/>
        </w:rPr>
      </w:pPr>
      <w:r>
        <w:rPr>
          <w:rFonts w:ascii="Calibri" w:hAnsi="Calibri" w:cs="Calibri"/>
        </w:rPr>
        <w:t>BMS p</w:t>
      </w:r>
      <w:r w:rsidR="00186F32">
        <w:rPr>
          <w:rFonts w:ascii="Calibri" w:hAnsi="Calibri" w:cs="Calibri"/>
        </w:rPr>
        <w:t xml:space="preserve">rotocol </w:t>
      </w:r>
      <w:r>
        <w:rPr>
          <w:rFonts w:ascii="Calibri" w:hAnsi="Calibri" w:cs="Calibri"/>
        </w:rPr>
        <w:t>S</w:t>
      </w:r>
      <w:r w:rsidR="00186F32">
        <w:rPr>
          <w:rFonts w:ascii="Calibri" w:hAnsi="Calibri" w:cs="Calibri"/>
        </w:rPr>
        <w:t xml:space="preserve">afeguarding </w:t>
      </w:r>
      <w:r w:rsidR="00836F77">
        <w:rPr>
          <w:rFonts w:ascii="Calibri" w:hAnsi="Calibri" w:cs="Calibri"/>
        </w:rPr>
        <w:t>A</w:t>
      </w:r>
      <w:r w:rsidR="00DA720B">
        <w:rPr>
          <w:rFonts w:ascii="Calibri" w:hAnsi="Calibri" w:cs="Calibri"/>
        </w:rPr>
        <w:t>ssessment</w:t>
      </w:r>
      <w:r w:rsidR="00836F77">
        <w:rPr>
          <w:rFonts w:ascii="Calibri" w:hAnsi="Calibri" w:cs="Calibri"/>
        </w:rPr>
        <w:t xml:space="preserve"> Quality</w:t>
      </w:r>
      <w:r w:rsidR="00CD7032">
        <w:rPr>
          <w:rFonts w:ascii="Calibri" w:hAnsi="Calibri" w:cs="Calibri"/>
        </w:rPr>
        <w:t xml:space="preserve"> </w:t>
      </w:r>
      <w:r w:rsidR="007D277F">
        <w:rPr>
          <w:rFonts w:ascii="Calibri" w:hAnsi="Calibri" w:cs="Calibri"/>
        </w:rPr>
        <w:t>2023</w:t>
      </w:r>
    </w:p>
    <w:p w14:paraId="508F7E20" w14:textId="152082B3" w:rsidR="00CD7032" w:rsidRDefault="00CD7032" w:rsidP="0011204B">
      <w:pPr>
        <w:pStyle w:val="NormalWeb"/>
        <w:numPr>
          <w:ilvl w:val="0"/>
          <w:numId w:val="5"/>
        </w:numPr>
        <w:spacing w:after="0"/>
        <w:rPr>
          <w:rFonts w:ascii="Calibri" w:hAnsi="Calibri" w:cs="Calibri"/>
        </w:rPr>
      </w:pPr>
      <w:r>
        <w:rPr>
          <w:rFonts w:ascii="Calibri" w:hAnsi="Calibri" w:cs="Calibri"/>
        </w:rPr>
        <w:t>UT</w:t>
      </w:r>
      <w:r w:rsidR="006A3EB3">
        <w:rPr>
          <w:rFonts w:ascii="Calibri" w:hAnsi="Calibri" w:cs="Calibri"/>
        </w:rPr>
        <w:t xml:space="preserve"> protocol Rules of Order for Written Tests</w:t>
      </w:r>
      <w:r w:rsidR="007D277F">
        <w:rPr>
          <w:rFonts w:ascii="Calibri" w:hAnsi="Calibri" w:cs="Calibri"/>
        </w:rPr>
        <w:t xml:space="preserve"> </w:t>
      </w:r>
      <w:r w:rsidR="006064F6">
        <w:rPr>
          <w:rFonts w:ascii="Calibri" w:hAnsi="Calibri" w:cs="Calibri"/>
        </w:rPr>
        <w:t>2018</w:t>
      </w:r>
    </w:p>
    <w:p w14:paraId="3491A3C5" w14:textId="692CD1D3" w:rsidR="005D6A02" w:rsidRDefault="005D6A02" w:rsidP="0011204B">
      <w:pPr>
        <w:pStyle w:val="NormalWeb"/>
        <w:numPr>
          <w:ilvl w:val="0"/>
          <w:numId w:val="5"/>
        </w:numPr>
        <w:spacing w:after="0"/>
        <w:rPr>
          <w:rFonts w:ascii="Calibri" w:hAnsi="Calibri" w:cs="Calibri"/>
        </w:rPr>
      </w:pPr>
      <w:r>
        <w:rPr>
          <w:rFonts w:ascii="Calibri" w:hAnsi="Calibri" w:cs="Calibri"/>
        </w:rPr>
        <w:t xml:space="preserve">UT </w:t>
      </w:r>
      <w:r w:rsidR="0032456D">
        <w:rPr>
          <w:rFonts w:ascii="Calibri" w:hAnsi="Calibri" w:cs="Calibri"/>
        </w:rPr>
        <w:t>Quality Assurance Framework S</w:t>
      </w:r>
      <w:r w:rsidR="00496EAA">
        <w:rPr>
          <w:rFonts w:ascii="Calibri" w:hAnsi="Calibri" w:cs="Calibri"/>
        </w:rPr>
        <w:t>t</w:t>
      </w:r>
      <w:r w:rsidR="0032456D">
        <w:rPr>
          <w:rFonts w:ascii="Calibri" w:hAnsi="Calibri" w:cs="Calibri"/>
        </w:rPr>
        <w:t xml:space="preserve">udent Assessment </w:t>
      </w:r>
      <w:r w:rsidR="00496EAA">
        <w:rPr>
          <w:rFonts w:ascii="Calibri" w:hAnsi="Calibri" w:cs="Calibri"/>
        </w:rPr>
        <w:t>2016</w:t>
      </w:r>
    </w:p>
    <w:p w14:paraId="0FDE56B3" w14:textId="077BE3B0" w:rsidR="005D6A02" w:rsidRDefault="00B5347B" w:rsidP="0011204B">
      <w:pPr>
        <w:pStyle w:val="NormalWeb"/>
        <w:numPr>
          <w:ilvl w:val="0"/>
          <w:numId w:val="5"/>
        </w:numPr>
        <w:spacing w:after="0"/>
        <w:rPr>
          <w:rFonts w:ascii="Calibri" w:hAnsi="Calibri" w:cs="Calibri"/>
        </w:rPr>
      </w:pPr>
      <w:r>
        <w:rPr>
          <w:rFonts w:ascii="Calibri" w:hAnsi="Calibri" w:cs="Calibri"/>
        </w:rPr>
        <w:t xml:space="preserve">BMS Policy Plan on Quality of Education </w:t>
      </w:r>
      <w:r w:rsidR="00286FCC">
        <w:rPr>
          <w:rFonts w:ascii="Calibri" w:hAnsi="Calibri" w:cs="Calibri"/>
        </w:rPr>
        <w:t>2019</w:t>
      </w:r>
    </w:p>
    <w:p w14:paraId="1E187321" w14:textId="1249FFAE" w:rsidR="0011204B" w:rsidRDefault="00186F32" w:rsidP="0011204B">
      <w:pPr>
        <w:pStyle w:val="NormalWeb"/>
        <w:numPr>
          <w:ilvl w:val="0"/>
          <w:numId w:val="5"/>
        </w:numPr>
        <w:spacing w:after="0"/>
        <w:rPr>
          <w:rFonts w:ascii="Calibri" w:hAnsi="Calibri" w:cs="Calibri"/>
        </w:rPr>
      </w:pPr>
      <w:r>
        <w:rPr>
          <w:rFonts w:ascii="Calibri" w:hAnsi="Calibri" w:cs="Calibri"/>
        </w:rPr>
        <w:t xml:space="preserve">I also looked at documentation from other universities </w:t>
      </w:r>
      <w:r w:rsidR="00B545F3">
        <w:rPr>
          <w:rFonts w:ascii="Calibri" w:hAnsi="Calibri" w:cs="Calibri"/>
        </w:rPr>
        <w:t xml:space="preserve">including Maastricht and Groningen </w:t>
      </w:r>
      <w:r w:rsidR="00CD278D">
        <w:rPr>
          <w:rFonts w:ascii="Calibri" w:hAnsi="Calibri" w:cs="Calibri"/>
        </w:rPr>
        <w:t>to broaden the scope of analysis</w:t>
      </w:r>
      <w:r w:rsidR="00DE2579">
        <w:rPr>
          <w:rFonts w:ascii="Calibri" w:hAnsi="Calibri" w:cs="Calibri"/>
        </w:rPr>
        <w:t xml:space="preserve"> and establish potential best practices</w:t>
      </w:r>
    </w:p>
    <w:p w14:paraId="6676C732" w14:textId="67E5DB93" w:rsidR="002E7E03" w:rsidRDefault="00B545F3" w:rsidP="0011204B">
      <w:pPr>
        <w:pStyle w:val="NormalWeb"/>
        <w:numPr>
          <w:ilvl w:val="0"/>
          <w:numId w:val="5"/>
        </w:numPr>
        <w:spacing w:after="0"/>
        <w:rPr>
          <w:rFonts w:ascii="Calibri" w:hAnsi="Calibri" w:cs="Calibri"/>
        </w:rPr>
      </w:pPr>
      <w:r>
        <w:rPr>
          <w:rFonts w:ascii="Calibri" w:hAnsi="Calibri" w:cs="Calibri"/>
        </w:rPr>
        <w:t xml:space="preserve">I used the law as stated in the WHW </w:t>
      </w:r>
      <w:r w:rsidR="00B942DE">
        <w:rPr>
          <w:rFonts w:ascii="Calibri" w:hAnsi="Calibri" w:cs="Calibri"/>
        </w:rPr>
        <w:t>regarding this topic</w:t>
      </w:r>
      <w:r w:rsidR="00635B1B">
        <w:rPr>
          <w:rFonts w:ascii="Calibri" w:hAnsi="Calibri" w:cs="Calibri"/>
        </w:rPr>
        <w:t xml:space="preserve"> (01/1</w:t>
      </w:r>
      <w:r w:rsidR="008F0DA0">
        <w:rPr>
          <w:rFonts w:ascii="Calibri" w:hAnsi="Calibri" w:cs="Calibri"/>
        </w:rPr>
        <w:t>0/2023)</w:t>
      </w:r>
    </w:p>
    <w:p w14:paraId="75571CEE" w14:textId="3BC80B06" w:rsidR="009F1441" w:rsidRDefault="0038151C" w:rsidP="009F2C75">
      <w:pPr>
        <w:pStyle w:val="NormalWeb"/>
        <w:spacing w:after="0"/>
        <w:rPr>
          <w:rFonts w:ascii="Calibri" w:hAnsi="Calibri" w:cs="Calibri"/>
        </w:rPr>
      </w:pPr>
      <w:r>
        <w:rPr>
          <w:rFonts w:ascii="Calibri" w:hAnsi="Calibri" w:cs="Calibri"/>
        </w:rPr>
        <w:t xml:space="preserve">After undertaking a </w:t>
      </w:r>
      <w:r w:rsidR="00EA4B75">
        <w:rPr>
          <w:rFonts w:ascii="Calibri" w:hAnsi="Calibri" w:cs="Calibri"/>
        </w:rPr>
        <w:t>thorough</w:t>
      </w:r>
      <w:r>
        <w:rPr>
          <w:rFonts w:ascii="Calibri" w:hAnsi="Calibri" w:cs="Calibri"/>
        </w:rPr>
        <w:t xml:space="preserve"> review of the available </w:t>
      </w:r>
      <w:r w:rsidR="00EA4B75">
        <w:rPr>
          <w:rFonts w:ascii="Calibri" w:hAnsi="Calibri" w:cs="Calibri"/>
        </w:rPr>
        <w:t>guidelines</w:t>
      </w:r>
      <w:r>
        <w:rPr>
          <w:rFonts w:ascii="Calibri" w:hAnsi="Calibri" w:cs="Calibri"/>
        </w:rPr>
        <w:t xml:space="preserve"> I came to the conclusion that </w:t>
      </w:r>
      <w:r w:rsidR="00EA4B75">
        <w:rPr>
          <w:rFonts w:ascii="Calibri" w:hAnsi="Calibri" w:cs="Calibri"/>
        </w:rPr>
        <w:t>there</w:t>
      </w:r>
      <w:r>
        <w:rPr>
          <w:rFonts w:ascii="Calibri" w:hAnsi="Calibri" w:cs="Calibri"/>
        </w:rPr>
        <w:t xml:space="preserve"> was very little stated in the </w:t>
      </w:r>
      <w:r w:rsidR="00EA4B75">
        <w:rPr>
          <w:rFonts w:ascii="Calibri" w:hAnsi="Calibri" w:cs="Calibri"/>
        </w:rPr>
        <w:t>guidelines</w:t>
      </w:r>
      <w:r w:rsidR="00B03E35">
        <w:rPr>
          <w:rFonts w:ascii="Calibri" w:hAnsi="Calibri" w:cs="Calibri"/>
        </w:rPr>
        <w:t xml:space="preserve"> regarding the examination review</w:t>
      </w:r>
      <w:r w:rsidR="002966F0">
        <w:rPr>
          <w:rFonts w:ascii="Calibri" w:hAnsi="Calibri" w:cs="Calibri"/>
        </w:rPr>
        <w:t>; and very little in the way of best practice that had been established at the other universities in the Netherlands.</w:t>
      </w:r>
      <w:r w:rsidR="00EA4B75">
        <w:rPr>
          <w:rFonts w:ascii="Calibri" w:hAnsi="Calibri" w:cs="Calibri"/>
        </w:rPr>
        <w:t xml:space="preserve"> I then </w:t>
      </w:r>
      <w:r w:rsidR="00532F9B">
        <w:rPr>
          <w:rFonts w:ascii="Calibri" w:hAnsi="Calibri" w:cs="Calibri"/>
        </w:rPr>
        <w:t>received feedback from the chair of the examination board</w:t>
      </w:r>
      <w:r w:rsidR="00EA52F6">
        <w:rPr>
          <w:rFonts w:ascii="Calibri" w:hAnsi="Calibri" w:cs="Calibri"/>
        </w:rPr>
        <w:t xml:space="preserve"> and a member of the registry. </w:t>
      </w:r>
      <w:r w:rsidR="00270E7A">
        <w:rPr>
          <w:rFonts w:ascii="Calibri" w:hAnsi="Calibri" w:cs="Calibri"/>
        </w:rPr>
        <w:t xml:space="preserve">I also discussed the topic with the central </w:t>
      </w:r>
      <w:r w:rsidR="001201A2">
        <w:rPr>
          <w:rFonts w:ascii="Calibri" w:hAnsi="Calibri" w:cs="Calibri"/>
        </w:rPr>
        <w:t xml:space="preserve">EER </w:t>
      </w:r>
      <w:r w:rsidR="00270E7A">
        <w:rPr>
          <w:rFonts w:ascii="Calibri" w:hAnsi="Calibri" w:cs="Calibri"/>
        </w:rPr>
        <w:t xml:space="preserve">working group of </w:t>
      </w:r>
      <w:r w:rsidR="001201A2">
        <w:rPr>
          <w:rFonts w:ascii="Calibri" w:hAnsi="Calibri" w:cs="Calibri"/>
        </w:rPr>
        <w:t>the UT</w:t>
      </w:r>
      <w:r w:rsidR="003F165F">
        <w:rPr>
          <w:rFonts w:ascii="Calibri" w:hAnsi="Calibri" w:cs="Calibri"/>
        </w:rPr>
        <w:t xml:space="preserve"> which included members from all but one of the faculties at the UT</w:t>
      </w:r>
      <w:r w:rsidR="001201A2">
        <w:rPr>
          <w:rFonts w:ascii="Calibri" w:hAnsi="Calibri" w:cs="Calibri"/>
        </w:rPr>
        <w:t xml:space="preserve">. </w:t>
      </w:r>
      <w:r w:rsidR="00C658C2" w:rsidRPr="00C658C2">
        <w:rPr>
          <w:rFonts w:ascii="Calibri" w:hAnsi="Calibri" w:cs="Calibri"/>
        </w:rPr>
        <w:t xml:space="preserve">These discussions provided invaluable insights into planned changes and, </w:t>
      </w:r>
      <w:r w:rsidR="00EF3F2A">
        <w:rPr>
          <w:rFonts w:ascii="Calibri" w:hAnsi="Calibri" w:cs="Calibri"/>
        </w:rPr>
        <w:t>offered</w:t>
      </w:r>
      <w:r w:rsidR="00C658C2" w:rsidRPr="00C658C2">
        <w:rPr>
          <w:rFonts w:ascii="Calibri" w:hAnsi="Calibri" w:cs="Calibri"/>
        </w:rPr>
        <w:t xml:space="preserve"> clarity on implementation strategies and aligning proposed changes effectively within the UT's regulatory framework</w:t>
      </w:r>
      <w:r w:rsidR="00EF3F2A">
        <w:rPr>
          <w:rFonts w:ascii="Calibri" w:hAnsi="Calibri" w:cs="Calibri"/>
        </w:rPr>
        <w:t xml:space="preserve">. </w:t>
      </w:r>
      <w:r w:rsidR="00771DF6">
        <w:rPr>
          <w:rFonts w:ascii="Calibri" w:hAnsi="Calibri" w:cs="Calibri"/>
        </w:rPr>
        <w:t>I learned that the UT</w:t>
      </w:r>
      <w:r w:rsidR="001D4E4A" w:rsidRPr="001D4E4A">
        <w:rPr>
          <w:rFonts w:ascii="Calibri" w:hAnsi="Calibri" w:cs="Calibri"/>
        </w:rPr>
        <w:t xml:space="preserve"> is exploring methods to broaden the scope of opportunities for conducting examination reviews, </w:t>
      </w:r>
      <w:r w:rsidR="009F1441">
        <w:rPr>
          <w:rFonts w:ascii="Calibri" w:hAnsi="Calibri" w:cs="Calibri"/>
        </w:rPr>
        <w:t>specifically</w:t>
      </w:r>
      <w:r w:rsidR="001D4E4A" w:rsidRPr="001D4E4A">
        <w:rPr>
          <w:rFonts w:ascii="Calibri" w:hAnsi="Calibri" w:cs="Calibri"/>
        </w:rPr>
        <w:t xml:space="preserve"> the </w:t>
      </w:r>
      <w:r w:rsidR="009F1441">
        <w:rPr>
          <w:rFonts w:ascii="Calibri" w:hAnsi="Calibri" w:cs="Calibri"/>
        </w:rPr>
        <w:t>use</w:t>
      </w:r>
      <w:r w:rsidR="001D4E4A" w:rsidRPr="001D4E4A">
        <w:rPr>
          <w:rFonts w:ascii="Calibri" w:hAnsi="Calibri" w:cs="Calibri"/>
        </w:rPr>
        <w:t xml:space="preserve"> of online options</w:t>
      </w:r>
      <w:r w:rsidR="009F1441">
        <w:rPr>
          <w:rFonts w:ascii="Calibri" w:hAnsi="Calibri" w:cs="Calibri"/>
        </w:rPr>
        <w:t>.</w:t>
      </w:r>
    </w:p>
    <w:p w14:paraId="3FEB6368" w14:textId="1F99679D" w:rsidR="00C61793" w:rsidRPr="009F2C75" w:rsidRDefault="00EE127B" w:rsidP="009F2C75">
      <w:pPr>
        <w:pStyle w:val="NormalWeb"/>
        <w:spacing w:after="0"/>
        <w:rPr>
          <w:rFonts w:ascii="Calibri" w:hAnsi="Calibri" w:cs="Calibri"/>
        </w:rPr>
      </w:pPr>
      <w:r>
        <w:rPr>
          <w:rFonts w:ascii="Calibri" w:hAnsi="Calibri" w:cs="Calibri"/>
        </w:rPr>
        <w:t xml:space="preserve">After looking at the existing policies and </w:t>
      </w:r>
      <w:r w:rsidR="006E1809">
        <w:rPr>
          <w:rFonts w:ascii="Calibri" w:hAnsi="Calibri" w:cs="Calibri"/>
        </w:rPr>
        <w:t>protocols</w:t>
      </w:r>
      <w:r>
        <w:rPr>
          <w:rFonts w:ascii="Calibri" w:hAnsi="Calibri" w:cs="Calibri"/>
        </w:rPr>
        <w:t xml:space="preserve"> in place at the UT, or not in place. I decided to follow the approach of the </w:t>
      </w:r>
      <w:r w:rsidR="009C1CF6">
        <w:rPr>
          <w:rFonts w:ascii="Calibri" w:hAnsi="Calibri" w:cs="Calibri"/>
        </w:rPr>
        <w:t xml:space="preserve">UT’s Written </w:t>
      </w:r>
      <w:r w:rsidR="006E1809">
        <w:rPr>
          <w:rFonts w:ascii="Calibri" w:hAnsi="Calibri" w:cs="Calibri"/>
        </w:rPr>
        <w:t>O</w:t>
      </w:r>
      <w:r w:rsidR="009C1CF6">
        <w:rPr>
          <w:rFonts w:ascii="Calibri" w:hAnsi="Calibri" w:cs="Calibri"/>
        </w:rPr>
        <w:t xml:space="preserve">rder for </w:t>
      </w:r>
      <w:r w:rsidR="006E1809">
        <w:rPr>
          <w:rFonts w:ascii="Calibri" w:hAnsi="Calibri" w:cs="Calibri"/>
        </w:rPr>
        <w:t>W</w:t>
      </w:r>
      <w:r w:rsidR="009C1CF6">
        <w:rPr>
          <w:rFonts w:ascii="Calibri" w:hAnsi="Calibri" w:cs="Calibri"/>
        </w:rPr>
        <w:t xml:space="preserve">ritten </w:t>
      </w:r>
      <w:r w:rsidR="006E1809">
        <w:rPr>
          <w:rFonts w:ascii="Calibri" w:hAnsi="Calibri" w:cs="Calibri"/>
        </w:rPr>
        <w:t>T</w:t>
      </w:r>
      <w:r w:rsidR="009C1CF6">
        <w:rPr>
          <w:rFonts w:ascii="Calibri" w:hAnsi="Calibri" w:cs="Calibri"/>
        </w:rPr>
        <w:t>ests</w:t>
      </w:r>
      <w:r w:rsidR="006E1809">
        <w:rPr>
          <w:rFonts w:ascii="Calibri" w:hAnsi="Calibri" w:cs="Calibri"/>
        </w:rPr>
        <w:t xml:space="preserve">. I have formulated my advice to establish a protocol rather than </w:t>
      </w:r>
      <w:r w:rsidR="00FA7B79">
        <w:rPr>
          <w:rFonts w:ascii="Calibri" w:hAnsi="Calibri" w:cs="Calibri"/>
        </w:rPr>
        <w:t xml:space="preserve">a policy based on this model. I also </w:t>
      </w:r>
      <w:r w:rsidR="00CB500E">
        <w:rPr>
          <w:rFonts w:ascii="Calibri" w:hAnsi="Calibri" w:cs="Calibri"/>
        </w:rPr>
        <w:t>believe</w:t>
      </w:r>
      <w:r w:rsidR="00FA7B79">
        <w:rPr>
          <w:rFonts w:ascii="Calibri" w:hAnsi="Calibri" w:cs="Calibri"/>
        </w:rPr>
        <w:t xml:space="preserve"> that </w:t>
      </w:r>
      <w:r w:rsidR="000807AA">
        <w:rPr>
          <w:rFonts w:ascii="Calibri" w:hAnsi="Calibri" w:cs="Calibri"/>
        </w:rPr>
        <w:t xml:space="preserve">the examination review could </w:t>
      </w:r>
      <w:r w:rsidR="005F6DA1">
        <w:rPr>
          <w:rFonts w:ascii="Calibri" w:hAnsi="Calibri" w:cs="Calibri"/>
        </w:rPr>
        <w:t>serve as</w:t>
      </w:r>
      <w:r w:rsidR="000807AA">
        <w:rPr>
          <w:rFonts w:ascii="Calibri" w:hAnsi="Calibri" w:cs="Calibri"/>
        </w:rPr>
        <w:t xml:space="preserve"> an addendum to this </w:t>
      </w:r>
      <w:r w:rsidR="009A21F6">
        <w:rPr>
          <w:rFonts w:ascii="Calibri" w:hAnsi="Calibri" w:cs="Calibri"/>
        </w:rPr>
        <w:t>already-established</w:t>
      </w:r>
      <w:r w:rsidR="000807AA">
        <w:rPr>
          <w:rFonts w:ascii="Calibri" w:hAnsi="Calibri" w:cs="Calibri"/>
        </w:rPr>
        <w:t xml:space="preserve"> protocol. </w:t>
      </w:r>
    </w:p>
    <w:p w14:paraId="21EC9A8E" w14:textId="165E5020" w:rsidR="009F2C75" w:rsidRPr="009F2C75" w:rsidRDefault="00412553" w:rsidP="009F2C75">
      <w:pPr>
        <w:pStyle w:val="NormalWeb"/>
        <w:spacing w:after="0"/>
        <w:rPr>
          <w:rFonts w:ascii="Calibri" w:hAnsi="Calibri" w:cs="Calibri"/>
        </w:rPr>
      </w:pPr>
      <w:r>
        <w:rPr>
          <w:rFonts w:ascii="Calibri" w:hAnsi="Calibri" w:cs="Calibri"/>
        </w:rPr>
        <w:t xml:space="preserve">I </w:t>
      </w:r>
      <w:r w:rsidR="00793191">
        <w:rPr>
          <w:rFonts w:ascii="Calibri" w:hAnsi="Calibri" w:cs="Calibri"/>
        </w:rPr>
        <w:t xml:space="preserve">strategically aligned the </w:t>
      </w:r>
      <w:r w:rsidR="000E3676">
        <w:rPr>
          <w:rFonts w:ascii="Calibri" w:hAnsi="Calibri" w:cs="Calibri"/>
        </w:rPr>
        <w:t>proposed protocol with</w:t>
      </w:r>
      <w:r>
        <w:rPr>
          <w:rFonts w:ascii="Calibri" w:hAnsi="Calibri" w:cs="Calibri"/>
        </w:rPr>
        <w:t xml:space="preserve"> the UT assessment policy </w:t>
      </w:r>
      <w:r w:rsidR="000E3676">
        <w:rPr>
          <w:rFonts w:ascii="Calibri" w:hAnsi="Calibri" w:cs="Calibri"/>
        </w:rPr>
        <w:t>in</w:t>
      </w:r>
      <w:r>
        <w:rPr>
          <w:rFonts w:ascii="Calibri" w:hAnsi="Calibri" w:cs="Calibri"/>
        </w:rPr>
        <w:t xml:space="preserve"> </w:t>
      </w:r>
      <w:r w:rsidR="000E3676">
        <w:rPr>
          <w:rFonts w:ascii="Calibri" w:hAnsi="Calibri" w:cs="Calibri"/>
        </w:rPr>
        <w:t>assigning</w:t>
      </w:r>
      <w:r w:rsidR="006A3149">
        <w:rPr>
          <w:rFonts w:ascii="Calibri" w:hAnsi="Calibri" w:cs="Calibri"/>
        </w:rPr>
        <w:t xml:space="preserve"> c</w:t>
      </w:r>
      <w:r w:rsidR="009F2C75" w:rsidRPr="009F2C75">
        <w:rPr>
          <w:rFonts w:ascii="Calibri" w:hAnsi="Calibri" w:cs="Calibri"/>
        </w:rPr>
        <w:t>lear roles</w:t>
      </w:r>
      <w:r w:rsidR="006B541A">
        <w:rPr>
          <w:rFonts w:ascii="Calibri" w:hAnsi="Calibri" w:cs="Calibri"/>
        </w:rPr>
        <w:t xml:space="preserve"> and responsibilities</w:t>
      </w:r>
      <w:r w:rsidR="009F2C75" w:rsidRPr="009F2C75">
        <w:rPr>
          <w:rFonts w:ascii="Calibri" w:hAnsi="Calibri" w:cs="Calibri"/>
        </w:rPr>
        <w:t xml:space="preserve"> to various </w:t>
      </w:r>
      <w:r w:rsidR="006A3149">
        <w:rPr>
          <w:rFonts w:ascii="Calibri" w:hAnsi="Calibri" w:cs="Calibri"/>
        </w:rPr>
        <w:t>actors</w:t>
      </w:r>
      <w:r w:rsidR="009F2C75" w:rsidRPr="009F2C75">
        <w:rPr>
          <w:rFonts w:ascii="Calibri" w:hAnsi="Calibri" w:cs="Calibri"/>
        </w:rPr>
        <w:t xml:space="preserve"> such as the UC-E, Strategy and Policy Department, Examination Boards, programmes, examiners, students, and CES, ensuring accountability and </w:t>
      </w:r>
      <w:r w:rsidR="008651B8">
        <w:rPr>
          <w:rFonts w:ascii="Calibri" w:hAnsi="Calibri" w:cs="Calibri"/>
        </w:rPr>
        <w:t xml:space="preserve">effective </w:t>
      </w:r>
      <w:r w:rsidR="003A4CCF">
        <w:rPr>
          <w:rFonts w:ascii="Calibri" w:hAnsi="Calibri" w:cs="Calibri"/>
        </w:rPr>
        <w:t>implementation</w:t>
      </w:r>
      <w:r w:rsidR="009F2C75" w:rsidRPr="009F2C75">
        <w:rPr>
          <w:rFonts w:ascii="Calibri" w:hAnsi="Calibri" w:cs="Calibri"/>
        </w:rPr>
        <w:t>.</w:t>
      </w:r>
    </w:p>
    <w:p w14:paraId="3D13F774" w14:textId="6E0EF781" w:rsidR="009F2C75" w:rsidRPr="009F2C75" w:rsidRDefault="009F2C75" w:rsidP="009F2C75">
      <w:pPr>
        <w:pStyle w:val="NormalWeb"/>
        <w:spacing w:after="0"/>
        <w:rPr>
          <w:rFonts w:ascii="Calibri" w:hAnsi="Calibri" w:cs="Calibri"/>
        </w:rPr>
      </w:pPr>
      <w:r w:rsidRPr="009F2C75">
        <w:rPr>
          <w:rFonts w:ascii="Calibri" w:hAnsi="Calibri" w:cs="Calibri"/>
        </w:rPr>
        <w:t>The proposed protocol was designed in alignment with the Quality of Assessment Pyramid, ensuring coherence with assessment policies, examination competence, and organi</w:t>
      </w:r>
      <w:r w:rsidR="003A4CCF">
        <w:rPr>
          <w:rFonts w:ascii="Calibri" w:hAnsi="Calibri" w:cs="Calibri"/>
        </w:rPr>
        <w:t>s</w:t>
      </w:r>
      <w:r w:rsidRPr="009F2C75">
        <w:rPr>
          <w:rFonts w:ascii="Calibri" w:hAnsi="Calibri" w:cs="Calibri"/>
        </w:rPr>
        <w:t xml:space="preserve">ational aspects. This integration was crucial in maintaining </w:t>
      </w:r>
      <w:r w:rsidR="00291DE9">
        <w:rPr>
          <w:rFonts w:ascii="Calibri" w:hAnsi="Calibri" w:cs="Calibri"/>
        </w:rPr>
        <w:t>alignment</w:t>
      </w:r>
      <w:r w:rsidRPr="009F2C75">
        <w:rPr>
          <w:rFonts w:ascii="Calibri" w:hAnsi="Calibri" w:cs="Calibri"/>
        </w:rPr>
        <w:t xml:space="preserve"> with the </w:t>
      </w:r>
      <w:r w:rsidR="00A12B0A" w:rsidRPr="009F2C75">
        <w:rPr>
          <w:rFonts w:ascii="Calibri" w:hAnsi="Calibri" w:cs="Calibri"/>
        </w:rPr>
        <w:t>assessment</w:t>
      </w:r>
      <w:r w:rsidR="00A12B0A">
        <w:rPr>
          <w:rFonts w:ascii="Calibri" w:hAnsi="Calibri" w:cs="Calibri"/>
        </w:rPr>
        <w:t xml:space="preserve"> policy of the</w:t>
      </w:r>
      <w:r w:rsidR="00A12B0A" w:rsidRPr="009F2C75">
        <w:rPr>
          <w:rFonts w:ascii="Calibri" w:hAnsi="Calibri" w:cs="Calibri"/>
        </w:rPr>
        <w:t xml:space="preserve"> </w:t>
      </w:r>
      <w:r w:rsidR="003A4CCF">
        <w:rPr>
          <w:rFonts w:ascii="Calibri" w:hAnsi="Calibri" w:cs="Calibri"/>
        </w:rPr>
        <w:t>UT</w:t>
      </w:r>
      <w:r w:rsidR="00291DE9">
        <w:rPr>
          <w:rFonts w:ascii="Calibri" w:hAnsi="Calibri" w:cs="Calibri"/>
        </w:rPr>
        <w:t xml:space="preserve"> and BMS</w:t>
      </w:r>
      <w:r w:rsidRPr="009F2C75">
        <w:rPr>
          <w:rFonts w:ascii="Calibri" w:hAnsi="Calibri" w:cs="Calibri"/>
        </w:rPr>
        <w:t>.</w:t>
      </w:r>
    </w:p>
    <w:p w14:paraId="6AC18655" w14:textId="141A2B13" w:rsidR="009F2C75" w:rsidRPr="009F2C75" w:rsidRDefault="009F2C75" w:rsidP="009F2C75">
      <w:pPr>
        <w:pStyle w:val="NormalWeb"/>
        <w:spacing w:after="0"/>
        <w:rPr>
          <w:rFonts w:ascii="Calibri" w:hAnsi="Calibri" w:cs="Calibri"/>
        </w:rPr>
      </w:pPr>
      <w:r w:rsidRPr="009F2C75">
        <w:rPr>
          <w:rFonts w:ascii="Calibri" w:hAnsi="Calibri" w:cs="Calibri"/>
        </w:rPr>
        <w:t>The resources utili</w:t>
      </w:r>
      <w:r w:rsidR="00F639DD">
        <w:rPr>
          <w:rFonts w:ascii="Calibri" w:hAnsi="Calibri" w:cs="Calibri"/>
        </w:rPr>
        <w:t>s</w:t>
      </w:r>
      <w:r w:rsidRPr="009F2C75">
        <w:rPr>
          <w:rFonts w:ascii="Calibri" w:hAnsi="Calibri" w:cs="Calibri"/>
        </w:rPr>
        <w:t>ed provided a comprehensive understanding of the issue, ensuring that the proposed advice aligned with legal frameworks, educational policies</w:t>
      </w:r>
      <w:r w:rsidR="00F639DD">
        <w:rPr>
          <w:rFonts w:ascii="Calibri" w:hAnsi="Calibri" w:cs="Calibri"/>
        </w:rPr>
        <w:t xml:space="preserve"> and procedures</w:t>
      </w:r>
      <w:r w:rsidRPr="009F2C75">
        <w:rPr>
          <w:rFonts w:ascii="Calibri" w:hAnsi="Calibri" w:cs="Calibri"/>
        </w:rPr>
        <w:t>, and stakeholder needs.</w:t>
      </w:r>
    </w:p>
    <w:p w14:paraId="3E5B1B28" w14:textId="1C83CCC6" w:rsidR="001D4B2C" w:rsidRPr="002F0BC9" w:rsidRDefault="001D4B2C" w:rsidP="002F0BC9">
      <w:pPr>
        <w:pStyle w:val="NormalWeb"/>
        <w:spacing w:before="0" w:beforeAutospacing="0" w:after="0" w:afterAutospacing="0"/>
        <w:rPr>
          <w:rFonts w:ascii="Calibri" w:hAnsi="Calibri" w:cs="Calibri"/>
          <w:sz w:val="22"/>
          <w:szCs w:val="22"/>
        </w:rPr>
      </w:pPr>
    </w:p>
    <w:sectPr w:rsidR="001D4B2C" w:rsidRPr="002F0BC9" w:rsidSect="007C51F2">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738"/>
    <w:multiLevelType w:val="hybridMultilevel"/>
    <w:tmpl w:val="0F3A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95502"/>
    <w:multiLevelType w:val="multilevel"/>
    <w:tmpl w:val="F3D8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9F439B"/>
    <w:multiLevelType w:val="multilevel"/>
    <w:tmpl w:val="E1D657FE"/>
    <w:lvl w:ilvl="0">
      <w:start w:val="1"/>
      <w:numFmt w:val="decimal"/>
      <w:lvlText w:val="%1."/>
      <w:lvlJc w:val="left"/>
      <w:pPr>
        <w:ind w:left="0" w:firstLine="0"/>
      </w:pPr>
      <w:rPr>
        <w:rFonts w:hint="default"/>
      </w:rPr>
    </w:lvl>
    <w:lvl w:ilvl="1">
      <w:start w:val="1"/>
      <w:numFmt w:val="lowerLetter"/>
      <w:pStyle w:val="Heading2"/>
      <w:lvlText w:val="%1%2."/>
      <w:lvlJc w:val="left"/>
      <w:pPr>
        <w:ind w:left="2705"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6D1D4200"/>
    <w:multiLevelType w:val="multilevel"/>
    <w:tmpl w:val="57A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9431665">
    <w:abstractNumId w:val="2"/>
  </w:num>
  <w:num w:numId="2" w16cid:durableId="628558513">
    <w:abstractNumId w:val="2"/>
  </w:num>
  <w:num w:numId="3" w16cid:durableId="2013796628">
    <w:abstractNumId w:val="3"/>
  </w:num>
  <w:num w:numId="4" w16cid:durableId="1536314069">
    <w:abstractNumId w:val="1"/>
  </w:num>
  <w:num w:numId="5" w16cid:durableId="194911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C9"/>
    <w:rsid w:val="000248F9"/>
    <w:rsid w:val="000807AA"/>
    <w:rsid w:val="000A17A0"/>
    <w:rsid w:val="000C754E"/>
    <w:rsid w:val="000E216F"/>
    <w:rsid w:val="000E3676"/>
    <w:rsid w:val="0011204B"/>
    <w:rsid w:val="001201A2"/>
    <w:rsid w:val="00161251"/>
    <w:rsid w:val="00186CA0"/>
    <w:rsid w:val="00186F32"/>
    <w:rsid w:val="001B051D"/>
    <w:rsid w:val="001B0CE3"/>
    <w:rsid w:val="001D4B2C"/>
    <w:rsid w:val="001D4E4A"/>
    <w:rsid w:val="001D7663"/>
    <w:rsid w:val="00250587"/>
    <w:rsid w:val="00270E7A"/>
    <w:rsid w:val="00281492"/>
    <w:rsid w:val="00286FCC"/>
    <w:rsid w:val="00291DE9"/>
    <w:rsid w:val="002966F0"/>
    <w:rsid w:val="002A2298"/>
    <w:rsid w:val="002D73A7"/>
    <w:rsid w:val="002E7E03"/>
    <w:rsid w:val="002F0BC9"/>
    <w:rsid w:val="00302121"/>
    <w:rsid w:val="00306506"/>
    <w:rsid w:val="00312B70"/>
    <w:rsid w:val="0032456D"/>
    <w:rsid w:val="003628BD"/>
    <w:rsid w:val="0038151C"/>
    <w:rsid w:val="00395713"/>
    <w:rsid w:val="003A4CCF"/>
    <w:rsid w:val="003D0437"/>
    <w:rsid w:val="003F165F"/>
    <w:rsid w:val="00412553"/>
    <w:rsid w:val="004158BA"/>
    <w:rsid w:val="004209C0"/>
    <w:rsid w:val="00496EAA"/>
    <w:rsid w:val="004C497C"/>
    <w:rsid w:val="0052392C"/>
    <w:rsid w:val="00532F9B"/>
    <w:rsid w:val="005571DB"/>
    <w:rsid w:val="00587A05"/>
    <w:rsid w:val="005C10DE"/>
    <w:rsid w:val="005D6A02"/>
    <w:rsid w:val="005F22C4"/>
    <w:rsid w:val="005F6DA1"/>
    <w:rsid w:val="006064F6"/>
    <w:rsid w:val="00613CF3"/>
    <w:rsid w:val="00635B1B"/>
    <w:rsid w:val="006A3149"/>
    <w:rsid w:val="006A3EB3"/>
    <w:rsid w:val="006B3DE9"/>
    <w:rsid w:val="006B541A"/>
    <w:rsid w:val="006B6EDC"/>
    <w:rsid w:val="006E1809"/>
    <w:rsid w:val="00713A4A"/>
    <w:rsid w:val="0075306A"/>
    <w:rsid w:val="00771DF6"/>
    <w:rsid w:val="00793191"/>
    <w:rsid w:val="007C51F2"/>
    <w:rsid w:val="007D277F"/>
    <w:rsid w:val="007E0A3C"/>
    <w:rsid w:val="008264E8"/>
    <w:rsid w:val="00836F77"/>
    <w:rsid w:val="008651B8"/>
    <w:rsid w:val="008D3FFB"/>
    <w:rsid w:val="008F0DA0"/>
    <w:rsid w:val="0091402F"/>
    <w:rsid w:val="00915E12"/>
    <w:rsid w:val="009164DC"/>
    <w:rsid w:val="00935ED2"/>
    <w:rsid w:val="00936EDB"/>
    <w:rsid w:val="00943378"/>
    <w:rsid w:val="009A21F6"/>
    <w:rsid w:val="009C1CF6"/>
    <w:rsid w:val="009F1441"/>
    <w:rsid w:val="009F2C75"/>
    <w:rsid w:val="00A12B0A"/>
    <w:rsid w:val="00A158E5"/>
    <w:rsid w:val="00A67AD4"/>
    <w:rsid w:val="00B03E35"/>
    <w:rsid w:val="00B5347B"/>
    <w:rsid w:val="00B545F3"/>
    <w:rsid w:val="00B75C04"/>
    <w:rsid w:val="00B942DE"/>
    <w:rsid w:val="00BA1B35"/>
    <w:rsid w:val="00C61793"/>
    <w:rsid w:val="00C62A04"/>
    <w:rsid w:val="00C658C2"/>
    <w:rsid w:val="00C714E4"/>
    <w:rsid w:val="00CB500E"/>
    <w:rsid w:val="00CD278D"/>
    <w:rsid w:val="00CD7032"/>
    <w:rsid w:val="00CE33D1"/>
    <w:rsid w:val="00CE7816"/>
    <w:rsid w:val="00D8743B"/>
    <w:rsid w:val="00DA720B"/>
    <w:rsid w:val="00DE2579"/>
    <w:rsid w:val="00E477B6"/>
    <w:rsid w:val="00EA4B75"/>
    <w:rsid w:val="00EA52F6"/>
    <w:rsid w:val="00EE127B"/>
    <w:rsid w:val="00EF3F2A"/>
    <w:rsid w:val="00F54B77"/>
    <w:rsid w:val="00F639DD"/>
    <w:rsid w:val="00FA7B79"/>
    <w:rsid w:val="00FB3D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5D73F"/>
  <w15:chartTrackingRefBased/>
  <w15:docId w15:val="{FA2AE6C3-F4B8-4255-8DB8-D0CCA2B3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B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E7816"/>
    <w:pPr>
      <w:widowControl w:val="0"/>
      <w:numPr>
        <w:ilvl w:val="1"/>
        <w:numId w:val="2"/>
      </w:numPr>
      <w:spacing w:after="100" w:line="240" w:lineRule="auto"/>
      <w:outlineLvl w:val="1"/>
    </w:pPr>
    <w:rPr>
      <w:rFonts w:asciiTheme="majorHAnsi" w:eastAsia="MS Mincho" w:hAnsiTheme="majorHAnsi" w:cs="Arial"/>
      <w:color w:val="8496B0" w:themeColor="text2" w:themeTint="99"/>
      <w:lang w:eastAsia="nl-NL" w:bidi="en-GB"/>
    </w:rPr>
  </w:style>
  <w:style w:type="paragraph" w:styleId="Heading3">
    <w:name w:val="heading 3"/>
    <w:basedOn w:val="Normal"/>
    <w:next w:val="Normal"/>
    <w:link w:val="Heading3Char"/>
    <w:uiPriority w:val="9"/>
    <w:unhideWhenUsed/>
    <w:qFormat/>
    <w:rsid w:val="002F0B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CE7816"/>
    <w:pPr>
      <w:widowControl w:val="0"/>
      <w:numPr>
        <w:ilvl w:val="3"/>
        <w:numId w:val="2"/>
      </w:numPr>
      <w:spacing w:after="0" w:line="240" w:lineRule="auto"/>
      <w:outlineLvl w:val="3"/>
    </w:pPr>
    <w:rPr>
      <w:rFonts w:ascii="Arial" w:eastAsia="MS Mincho" w:hAnsi="Arial" w:cs="Times New Roman"/>
      <w:b/>
      <w:sz w:val="20"/>
      <w:szCs w:val="20"/>
      <w:lang w:eastAsia="nl-NL"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7816"/>
    <w:rPr>
      <w:rFonts w:asciiTheme="majorHAnsi" w:eastAsia="MS Mincho" w:hAnsiTheme="majorHAnsi" w:cs="Arial"/>
      <w:color w:val="8496B0" w:themeColor="text2" w:themeTint="99"/>
      <w:lang w:eastAsia="nl-NL" w:bidi="en-GB"/>
    </w:rPr>
  </w:style>
  <w:style w:type="character" w:customStyle="1" w:styleId="Heading4Char">
    <w:name w:val="Heading 4 Char"/>
    <w:basedOn w:val="DefaultParagraphFont"/>
    <w:link w:val="Heading4"/>
    <w:rsid w:val="00CE7816"/>
    <w:rPr>
      <w:rFonts w:ascii="Arial" w:eastAsia="MS Mincho" w:hAnsi="Arial" w:cs="Times New Roman"/>
      <w:b/>
      <w:sz w:val="20"/>
      <w:szCs w:val="20"/>
      <w:lang w:eastAsia="nl-NL" w:bidi="en-GB"/>
    </w:rPr>
  </w:style>
  <w:style w:type="paragraph" w:styleId="NormalWeb">
    <w:name w:val="Normal (Web)"/>
    <w:basedOn w:val="Normal"/>
    <w:uiPriority w:val="99"/>
    <w:unhideWhenUsed/>
    <w:rsid w:val="002F0B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2F0BC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F0B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977">
      <w:bodyDiv w:val="1"/>
      <w:marLeft w:val="0"/>
      <w:marRight w:val="0"/>
      <w:marTop w:val="0"/>
      <w:marBottom w:val="0"/>
      <w:divBdr>
        <w:top w:val="none" w:sz="0" w:space="0" w:color="auto"/>
        <w:left w:val="none" w:sz="0" w:space="0" w:color="auto"/>
        <w:bottom w:val="none" w:sz="0" w:space="0" w:color="auto"/>
        <w:right w:val="none" w:sz="0" w:space="0" w:color="auto"/>
      </w:divBdr>
    </w:div>
    <w:div w:id="1388140057">
      <w:bodyDiv w:val="1"/>
      <w:marLeft w:val="0"/>
      <w:marRight w:val="0"/>
      <w:marTop w:val="0"/>
      <w:marBottom w:val="0"/>
      <w:divBdr>
        <w:top w:val="none" w:sz="0" w:space="0" w:color="auto"/>
        <w:left w:val="none" w:sz="0" w:space="0" w:color="auto"/>
        <w:bottom w:val="none" w:sz="0" w:space="0" w:color="auto"/>
        <w:right w:val="none" w:sz="0" w:space="0" w:color="auto"/>
      </w:divBdr>
    </w:div>
    <w:div w:id="15728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595</Words>
  <Characters>3485</Characters>
  <Application>Microsoft Office Word</Application>
  <DocSecurity>0</DocSecurity>
  <Lines>56</Lines>
  <Paragraphs>19</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Rachel (UT-BMS)</dc:creator>
  <cp:keywords/>
  <dc:description/>
  <cp:lastModifiedBy>Scott, Rachel (UT-BMS)</cp:lastModifiedBy>
  <cp:revision>108</cp:revision>
  <dcterms:created xsi:type="dcterms:W3CDTF">2023-11-17T08:48:00Z</dcterms:created>
  <dcterms:modified xsi:type="dcterms:W3CDTF">2023-11-17T11:43:00Z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06c1bac47e183d2b20855d5c5496987ef558466a23d0d2101ff68bdbdcfd0b87</vt:lpwstr>
  </property>
</Properties>
</file>