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4F1B" w14:textId="7ED593D8" w:rsidR="008E0ACA" w:rsidRDefault="009C688B" w:rsidP="009C688B">
      <w:pPr>
        <w:spacing w:line="240" w:lineRule="auto"/>
      </w:pPr>
      <w:bookmarkStart w:id="0" w:name="_GoBack"/>
      <w:bookmarkEnd w:id="0"/>
      <w:r w:rsidRPr="009C688B">
        <w:rPr>
          <w:noProof/>
          <w:color w:val="365F91" w:themeColor="accent1" w:themeShade="BF"/>
          <w:lang w:eastAsia="nl-NL"/>
        </w:rPr>
        <w:drawing>
          <wp:anchor distT="0" distB="0" distL="114300" distR="114300" simplePos="0" relativeHeight="251658239" behindDoc="1" locked="0" layoutInCell="1" allowOverlap="1" wp14:anchorId="4311A349" wp14:editId="28B49320">
            <wp:simplePos x="0" y="0"/>
            <wp:positionH relativeFrom="column">
              <wp:posOffset>3865880</wp:posOffset>
            </wp:positionH>
            <wp:positionV relativeFrom="paragraph">
              <wp:posOffset>-576580</wp:posOffset>
            </wp:positionV>
            <wp:extent cx="2439670" cy="1626235"/>
            <wp:effectExtent l="0" t="0" r="0" b="0"/>
            <wp:wrapNone/>
            <wp:docPr id="2" name="Afbeelding 2" descr="Afbeeldingsresultaat voor annu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nual repo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9670"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ACA" w:rsidRPr="009C688B">
        <w:rPr>
          <w:b/>
          <w:color w:val="365F91" w:themeColor="accent1" w:themeShade="BF"/>
          <w:sz w:val="32"/>
          <w:szCs w:val="32"/>
        </w:rPr>
        <w:t xml:space="preserve">Wat zet je in het jaarverslag? </w:t>
      </w:r>
      <w:r w:rsidR="008E0ACA" w:rsidRPr="009C688B">
        <w:rPr>
          <w:b/>
          <w:color w:val="365F91" w:themeColor="accent1" w:themeShade="BF"/>
          <w:sz w:val="32"/>
          <w:szCs w:val="32"/>
        </w:rPr>
        <w:br/>
      </w:r>
      <w:r w:rsidR="008E0ACA" w:rsidRPr="009C688B">
        <w:rPr>
          <w:b/>
        </w:rPr>
        <w:br/>
      </w:r>
      <w:r w:rsidR="008E0ACA">
        <w:t xml:space="preserve">Sinds 2010 is het voor iedere examencommissie verplicht jaarlijks aan de decaan schriftelijk </w:t>
      </w:r>
      <w:r w:rsidR="00C24A49">
        <w:br/>
      </w:r>
      <w:r w:rsidR="008E0ACA">
        <w:t xml:space="preserve">verslag uit te brengen over de </w:t>
      </w:r>
      <w:r w:rsidR="00C24A49">
        <w:t>w</w:t>
      </w:r>
      <w:r w:rsidR="008E0ACA">
        <w:t xml:space="preserve">erkzaamheden (WHW, artikel 7.12b).  In de Memorie van </w:t>
      </w:r>
      <w:r w:rsidR="00C24A49">
        <w:br/>
      </w:r>
      <w:r w:rsidR="008E0ACA">
        <w:t xml:space="preserve">Toelichting is </w:t>
      </w:r>
      <w:r w:rsidR="000D37DF">
        <w:t xml:space="preserve">aangegeven </w:t>
      </w:r>
      <w:r w:rsidR="008E0ACA">
        <w:t xml:space="preserve">dat deze verplichting is bedoeld om de transparantie te bevorderen </w:t>
      </w:r>
      <w:r w:rsidR="00C24A49">
        <w:br/>
      </w:r>
      <w:r w:rsidR="008E0ACA">
        <w:t xml:space="preserve">en om te benadrukken dat de examencommissie een onafhankelijk orgaan is binnen de </w:t>
      </w:r>
      <w:r w:rsidR="00C24A49">
        <w:br/>
      </w:r>
      <w:r w:rsidR="008E0ACA">
        <w:t xml:space="preserve">instelling. Bij accreditaties op opleidingsniveau of instellingsbreed zal </w:t>
      </w:r>
      <w:r w:rsidR="000D37DF">
        <w:t xml:space="preserve">naar dit jaarverslag </w:t>
      </w:r>
      <w:r w:rsidR="008E0ACA">
        <w:t xml:space="preserve">gevraagd </w:t>
      </w:r>
      <w:r w:rsidR="00D457E4">
        <w:t>(</w:t>
      </w:r>
      <w:r w:rsidR="008E0ACA">
        <w:t>kunnen</w:t>
      </w:r>
      <w:r w:rsidR="00D457E4">
        <w:t>)</w:t>
      </w:r>
      <w:r w:rsidR="008E0ACA">
        <w:t xml:space="preserve"> worden. </w:t>
      </w:r>
    </w:p>
    <w:p w14:paraId="39979906" w14:textId="77777777" w:rsidR="008E0ACA" w:rsidRDefault="008E0ACA" w:rsidP="000D37DF">
      <w:pPr>
        <w:spacing w:line="240" w:lineRule="auto"/>
      </w:pPr>
      <w:r w:rsidRPr="009C688B">
        <w:rPr>
          <w:b/>
          <w:color w:val="365F91" w:themeColor="accent1" w:themeShade="BF"/>
        </w:rPr>
        <w:t>Functioneel</w:t>
      </w:r>
      <w:r w:rsidRPr="009C688B">
        <w:rPr>
          <w:b/>
          <w:color w:val="365F91" w:themeColor="accent1" w:themeShade="BF"/>
        </w:rPr>
        <w:br/>
      </w:r>
      <w:r>
        <w:t>Als je dan toch een verslag opstelt, is het wel zo handig als dit verslag ook nut heeft. Wat kan het doel en nut zijn? Je kunt hiermee onder andere:</w:t>
      </w:r>
    </w:p>
    <w:p w14:paraId="07D64955" w14:textId="77777777" w:rsidR="008E0ACA" w:rsidRDefault="008E0ACA" w:rsidP="000D37DF">
      <w:pPr>
        <w:pStyle w:val="ListParagraph"/>
        <w:numPr>
          <w:ilvl w:val="0"/>
          <w:numId w:val="2"/>
        </w:numPr>
        <w:spacing w:line="240" w:lineRule="auto"/>
      </w:pPr>
      <w:r>
        <w:t xml:space="preserve">input leveren voor kwaliteitsverbetering van de opleiding </w:t>
      </w:r>
      <w:r w:rsidR="000D37DF">
        <w:t xml:space="preserve">of faculteit </w:t>
      </w:r>
      <w:r>
        <w:t>(signaleren, a</w:t>
      </w:r>
      <w:r w:rsidR="000D37DF">
        <w:t>dviseren</w:t>
      </w:r>
      <w:r>
        <w:t>)</w:t>
      </w:r>
      <w:r w:rsidR="000D37DF">
        <w:t>;</w:t>
      </w:r>
    </w:p>
    <w:p w14:paraId="42C806AA" w14:textId="77777777" w:rsidR="00B36DB4" w:rsidRDefault="00B36DB4" w:rsidP="000D37DF">
      <w:pPr>
        <w:pStyle w:val="ListParagraph"/>
        <w:numPr>
          <w:ilvl w:val="0"/>
          <w:numId w:val="2"/>
        </w:numPr>
        <w:spacing w:line="240" w:lineRule="auto"/>
      </w:pPr>
      <w:r>
        <w:t>aangeven welke behoeften en wensen er zijn of tegen welke knelpunten je aanloopt als examencommissie;</w:t>
      </w:r>
    </w:p>
    <w:p w14:paraId="0EB477DC" w14:textId="77777777" w:rsidR="008E0ACA" w:rsidRDefault="008E0ACA" w:rsidP="000D37DF">
      <w:pPr>
        <w:pStyle w:val="ListParagraph"/>
        <w:numPr>
          <w:ilvl w:val="0"/>
          <w:numId w:val="2"/>
        </w:numPr>
        <w:spacing w:line="240" w:lineRule="auto"/>
      </w:pPr>
      <w:r>
        <w:t>een overzicht bieden van en verantwoording afleggen voor uitgevoerde acties en werkzaamheden; met name in relatie tot de wettelijke taken</w:t>
      </w:r>
      <w:r w:rsidR="000D37DF">
        <w:t>;</w:t>
      </w:r>
    </w:p>
    <w:p w14:paraId="3C66ED11" w14:textId="77777777" w:rsidR="00B36DB4" w:rsidRDefault="00B36DB4" w:rsidP="00B36DB4">
      <w:pPr>
        <w:pStyle w:val="ListParagraph"/>
        <w:numPr>
          <w:ilvl w:val="0"/>
          <w:numId w:val="2"/>
        </w:numPr>
        <w:spacing w:line="240" w:lineRule="auto"/>
      </w:pPr>
      <w:r>
        <w:t xml:space="preserve">aantonen dat de </w:t>
      </w:r>
      <w:proofErr w:type="spellStart"/>
      <w:r>
        <w:t>pdca</w:t>
      </w:r>
      <w:proofErr w:type="spellEnd"/>
      <w:r>
        <w:t xml:space="preserve">-cyclus wordt gevolgd door te reflecteren op alle acties (Zijn eerdere plannen uitgevoerd? Wat is er bereikt? Wat ging minder goed dit jaar? Waar zitten knelpunten?) en door aan te geven welke plannen er zijn voor komend jaar. </w:t>
      </w:r>
    </w:p>
    <w:p w14:paraId="53A17D37" w14:textId="770B1E7A" w:rsidR="000D37DF" w:rsidRDefault="000D37DF" w:rsidP="000D37DF">
      <w:pPr>
        <w:pStyle w:val="ListParagraph"/>
        <w:numPr>
          <w:ilvl w:val="0"/>
          <w:numId w:val="2"/>
        </w:numPr>
        <w:spacing w:line="240" w:lineRule="auto"/>
      </w:pPr>
      <w:r>
        <w:t xml:space="preserve">een overzicht geven van genomen besluiten </w:t>
      </w:r>
      <w:r w:rsidR="00B36DB4">
        <w:t xml:space="preserve">n.a.v. verzoeken </w:t>
      </w:r>
      <w:r>
        <w:t>(managementinformatie); je hebt dan meteen een soort ‘jurisprudentie’ archief</w:t>
      </w:r>
      <w:r w:rsidR="00B36DB4">
        <w:t xml:space="preserve"> en kunt over de jaren heen trends signaleren</w:t>
      </w:r>
      <w:r>
        <w:t xml:space="preserve">; </w:t>
      </w:r>
    </w:p>
    <w:p w14:paraId="754D913A" w14:textId="77777777" w:rsidR="008E0ACA" w:rsidRDefault="008E0ACA" w:rsidP="000D37DF">
      <w:pPr>
        <w:pStyle w:val="ListParagraph"/>
        <w:numPr>
          <w:ilvl w:val="0"/>
          <w:numId w:val="2"/>
        </w:numPr>
        <w:spacing w:line="240" w:lineRule="auto"/>
      </w:pPr>
      <w:r>
        <w:t xml:space="preserve">de werkwijze van de examencommissie </w:t>
      </w:r>
      <w:r w:rsidR="00B36DB4">
        <w:t xml:space="preserve">naar anderen toe </w:t>
      </w:r>
      <w:r>
        <w:t>verduidelijken en verantwoorden</w:t>
      </w:r>
      <w:r w:rsidR="00B36DB4">
        <w:t>.</w:t>
      </w:r>
    </w:p>
    <w:p w14:paraId="3BC94DA4" w14:textId="77777777" w:rsidR="008E0ACA" w:rsidRDefault="008E0ACA" w:rsidP="000D37DF">
      <w:pPr>
        <w:spacing w:line="240" w:lineRule="auto"/>
      </w:pPr>
      <w:r>
        <w:t xml:space="preserve">Een jaarverslag geeft ook een stukje historie weer, wat handig kan zijn bij het inwerken van nieuwe leden. </w:t>
      </w:r>
      <w:r w:rsidR="000D37DF">
        <w:t xml:space="preserve">In het jaarverslag kun je verwijzen naar alle andere relevante bronnen, zoals een huishoudelijk reglement en Regels &amp; Richtlijnen. </w:t>
      </w:r>
      <w:r>
        <w:t xml:space="preserve"> </w:t>
      </w:r>
    </w:p>
    <w:p w14:paraId="34B451E3" w14:textId="3BAF5274" w:rsidR="008E0ACA" w:rsidRDefault="007F6917" w:rsidP="000D37DF">
      <w:pPr>
        <w:spacing w:line="240" w:lineRule="auto"/>
      </w:pPr>
      <w:r>
        <w:rPr>
          <w:rFonts w:ascii="wf_segoe-ui_normal" w:hAnsi="wf_segoe-ui_normal"/>
          <w:noProof/>
        </w:rPr>
        <mc:AlternateContent>
          <mc:Choice Requires="wps">
            <w:drawing>
              <wp:anchor distT="0" distB="0" distL="114300" distR="114300" simplePos="0" relativeHeight="251659264" behindDoc="0" locked="0" layoutInCell="1" allowOverlap="1" wp14:anchorId="62345358" wp14:editId="42902B7B">
                <wp:simplePos x="0" y="0"/>
                <wp:positionH relativeFrom="column">
                  <wp:posOffset>-90591</wp:posOffset>
                </wp:positionH>
                <wp:positionV relativeFrom="paragraph">
                  <wp:posOffset>2286489</wp:posOffset>
                </wp:positionV>
                <wp:extent cx="5923369" cy="1844984"/>
                <wp:effectExtent l="57150" t="38100" r="77470" b="98425"/>
                <wp:wrapNone/>
                <wp:docPr id="1" name="Afgeronde rechthoek 1"/>
                <wp:cNvGraphicFramePr/>
                <a:graphic xmlns:a="http://schemas.openxmlformats.org/drawingml/2006/main">
                  <a:graphicData uri="http://schemas.microsoft.com/office/word/2010/wordprocessingShape">
                    <wps:wsp>
                      <wps:cNvSpPr/>
                      <wps:spPr>
                        <a:xfrm>
                          <a:off x="0" y="0"/>
                          <a:ext cx="5923369" cy="1844984"/>
                        </a:xfrm>
                        <a:prstGeom prst="roundRect">
                          <a:avLst/>
                        </a:prstGeom>
                        <a:solidFill>
                          <a:schemeClr val="accent1">
                            <a:lumMod val="20000"/>
                            <a:lumOff val="80000"/>
                          </a:schemeClr>
                        </a:solidFill>
                        <a:ln w="9525" cap="flat" cmpd="sng" algn="ctr">
                          <a:solidFill>
                            <a:schemeClr val="tx2"/>
                          </a:solidFill>
                          <a:prstDash val="solid"/>
                        </a:ln>
                        <a:effectLst>
                          <a:outerShdw blurRad="40000" dist="20000" dir="5400000" rotWithShape="0">
                            <a:srgbClr val="000000">
                              <a:alpha val="38000"/>
                            </a:srgbClr>
                          </a:outerShdw>
                        </a:effectLst>
                      </wps:spPr>
                      <wps:txbx>
                        <w:txbxContent>
                          <w:p w14:paraId="7C5E6F55" w14:textId="627C41A1" w:rsidR="000D37DF" w:rsidRPr="00EB762A" w:rsidRDefault="000D37DF" w:rsidP="000D37DF">
                            <w:pPr>
                              <w:pStyle w:val="xmsonormal"/>
                              <w:rPr>
                                <w:rFonts w:ascii="wf_segoe-ui_normal" w:hAnsi="wf_segoe-ui_normal"/>
                                <w:sz w:val="20"/>
                                <w:szCs w:val="20"/>
                              </w:rPr>
                            </w:pPr>
                            <w:r w:rsidRPr="007F6917">
                              <w:rPr>
                                <w:rFonts w:ascii="Calibri" w:hAnsi="Calibri" w:cs="Calibri"/>
                                <w:b/>
                                <w:sz w:val="20"/>
                                <w:szCs w:val="20"/>
                                <w:lang w:val="en-US"/>
                              </w:rPr>
                              <w:t>Quality Assurance Framework for Student Assessment UT</w:t>
                            </w:r>
                            <w:r w:rsidRPr="007F6917">
                              <w:rPr>
                                <w:rFonts w:ascii="Calibri" w:hAnsi="Calibri" w:cs="Calibri"/>
                                <w:b/>
                                <w:bCs/>
                                <w:sz w:val="20"/>
                                <w:szCs w:val="20"/>
                                <w:lang w:val="en-US"/>
                              </w:rPr>
                              <w:t xml:space="preserve"> </w:t>
                            </w:r>
                            <w:r w:rsidRPr="007F6917">
                              <w:rPr>
                                <w:rFonts w:ascii="Calibri" w:hAnsi="Calibri" w:cs="Calibri"/>
                                <w:b/>
                                <w:bCs/>
                                <w:sz w:val="20"/>
                                <w:szCs w:val="20"/>
                                <w:lang w:val="en-US"/>
                              </w:rPr>
                              <w:br/>
                            </w:r>
                            <w:r w:rsidRPr="007F6917">
                              <w:rPr>
                                <w:rFonts w:ascii="Calibri" w:hAnsi="Calibri" w:cs="Calibri"/>
                                <w:b/>
                                <w:bCs/>
                                <w:i/>
                                <w:sz w:val="20"/>
                                <w:szCs w:val="20"/>
                                <w:lang w:val="en-US"/>
                              </w:rPr>
                              <w:t>8.2 Guideline for an annual report from the Examination Board  An annual report from an Examination Board should address the following topics:</w:t>
                            </w:r>
                            <w:r w:rsidRPr="007F6917">
                              <w:rPr>
                                <w:rFonts w:ascii="Calibri" w:hAnsi="Calibri" w:cs="Calibri"/>
                                <w:sz w:val="20"/>
                                <w:szCs w:val="20"/>
                                <w:lang w:val="en-US"/>
                              </w:rPr>
                              <w:br/>
                              <w:t xml:space="preserve">1. General working procedures (composition, tasks, </w:t>
                            </w:r>
                            <w:r w:rsidR="00591FFC" w:rsidRPr="007F6917">
                              <w:rPr>
                                <w:rFonts w:ascii="Calibri" w:hAnsi="Calibri" w:cs="Calibri"/>
                                <w:sz w:val="20"/>
                                <w:szCs w:val="20"/>
                                <w:lang w:val="en-US"/>
                              </w:rPr>
                              <w:t>authorizations</w:t>
                            </w:r>
                            <w:r w:rsidRPr="007F6917">
                              <w:rPr>
                                <w:rFonts w:ascii="Calibri" w:hAnsi="Calibri" w:cs="Calibri"/>
                                <w:sz w:val="20"/>
                                <w:szCs w:val="20"/>
                                <w:lang w:val="en-US"/>
                              </w:rPr>
                              <w:t xml:space="preserve">, appointed committees). </w:t>
                            </w:r>
                            <w:r w:rsidR="00591FFC" w:rsidRPr="007F6917">
                              <w:rPr>
                                <w:rFonts w:ascii="Calibri" w:hAnsi="Calibri" w:cs="Calibri"/>
                                <w:sz w:val="20"/>
                                <w:szCs w:val="20"/>
                                <w:lang w:val="en-US"/>
                              </w:rPr>
                              <w:br/>
                            </w:r>
                            <w:r w:rsidRPr="007F6917">
                              <w:rPr>
                                <w:rFonts w:ascii="Calibri" w:hAnsi="Calibri" w:cs="Calibri"/>
                                <w:sz w:val="20"/>
                                <w:szCs w:val="20"/>
                                <w:lang w:val="en-US"/>
                              </w:rPr>
                              <w:t xml:space="preserve">2. Working methods for safeguarding the quality of assessments, an overview of findings.  </w:t>
                            </w:r>
                            <w:r w:rsidRPr="007F6917">
                              <w:rPr>
                                <w:rFonts w:ascii="Calibri" w:hAnsi="Calibri" w:cs="Calibri"/>
                                <w:sz w:val="20"/>
                                <w:szCs w:val="20"/>
                                <w:lang w:val="en-US"/>
                              </w:rPr>
                              <w:br/>
                              <w:t xml:space="preserve">3. Overview of appointment of examiners and termination of such appointments. </w:t>
                            </w:r>
                            <w:r w:rsidRPr="007F6917">
                              <w:rPr>
                                <w:rFonts w:ascii="Calibri" w:hAnsi="Calibri" w:cs="Calibri"/>
                                <w:sz w:val="20"/>
                                <w:szCs w:val="20"/>
                                <w:lang w:val="en-US"/>
                              </w:rPr>
                              <w:br/>
                              <w:t xml:space="preserve">4. An overview of decisions on individual students in line with the EER for the academic year. </w:t>
                            </w:r>
                            <w:r w:rsidRPr="007F6917">
                              <w:rPr>
                                <w:rFonts w:ascii="Calibri" w:hAnsi="Calibri" w:cs="Calibri"/>
                                <w:sz w:val="20"/>
                                <w:szCs w:val="20"/>
                                <w:lang w:val="en-US"/>
                              </w:rPr>
                              <w:br/>
                              <w:t xml:space="preserve">5. An overview of advisory / policy tasks and recommendations. </w:t>
                            </w:r>
                            <w:r w:rsidRPr="007F6917">
                              <w:rPr>
                                <w:rFonts w:ascii="Calibri" w:hAnsi="Calibri" w:cs="Calibri"/>
                                <w:sz w:val="20"/>
                                <w:szCs w:val="20"/>
                                <w:lang w:val="en-US"/>
                              </w:rPr>
                              <w:br/>
                              <w:t xml:space="preserve">6. Evaluation of the performance of the Examination Board itself (based on own KPI’s). </w:t>
                            </w:r>
                            <w:hyperlink r:id="rId6" w:tgtFrame="_blank" w:history="1">
                              <w:r w:rsidRPr="00EB762A">
                                <w:rPr>
                                  <w:rStyle w:val="Hyperlink"/>
                                  <w:rFonts w:ascii="Calibri" w:hAnsi="Calibri" w:cs="Calibri"/>
                                  <w:sz w:val="16"/>
                                  <w:szCs w:val="16"/>
                                </w:rPr>
                                <w:t>https://www.utwente.nl/en/examination-board/safeguarding/ut/quality-assurance-framework-student-assessment-ut.pdf</w:t>
                              </w:r>
                            </w:hyperlink>
                          </w:p>
                          <w:p w14:paraId="4DE1FA80" w14:textId="77777777" w:rsidR="000D37DF" w:rsidRPr="00EB762A" w:rsidRDefault="000D37DF" w:rsidP="000D37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45358" id="Afgeronde rechthoek 1" o:spid="_x0000_s1026" style="position:absolute;margin-left:-7.15pt;margin-top:180.05pt;width:466.4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" fillcolor="#dbe5f1 [660]" strokecolor="#1f497d [3215]">
                <v:shadow on="t" color="black" opacity="24903f" origin=",.5" offset="0,.55556mm"/>
                <v:textbox>
                  <w:txbxContent>
                    <w:p w14:paraId="7C5E6F55" w14:textId="627C41A1" w:rsidR="000D37DF" w:rsidRPr="00EB762A" w:rsidRDefault="000D37DF" w:rsidP="000D37DF">
                      <w:pPr>
                        <w:pStyle w:val="xmsonormal"/>
                        <w:rPr>
                          <w:rFonts w:ascii="wf_segoe-ui_normal" w:hAnsi="wf_segoe-ui_normal"/>
                          <w:sz w:val="20"/>
                          <w:szCs w:val="20"/>
                        </w:rPr>
                      </w:pPr>
                      <w:r w:rsidRPr="007F6917">
                        <w:rPr>
                          <w:rFonts w:ascii="Calibri" w:hAnsi="Calibri" w:cs="Calibri"/>
                          <w:b/>
                          <w:sz w:val="20"/>
                          <w:szCs w:val="20"/>
                          <w:lang w:val="en-US"/>
                        </w:rPr>
                        <w:t>Quality Assurance Framework for Student Assessment UT</w:t>
                      </w:r>
                      <w:r w:rsidRPr="007F6917">
                        <w:rPr>
                          <w:rFonts w:ascii="Calibri" w:hAnsi="Calibri" w:cs="Calibri"/>
                          <w:b/>
                          <w:bCs/>
                          <w:sz w:val="20"/>
                          <w:szCs w:val="20"/>
                          <w:lang w:val="en-US"/>
                        </w:rPr>
                        <w:t xml:space="preserve"> </w:t>
                      </w:r>
                      <w:r w:rsidRPr="007F6917">
                        <w:rPr>
                          <w:rFonts w:ascii="Calibri" w:hAnsi="Calibri" w:cs="Calibri"/>
                          <w:b/>
                          <w:bCs/>
                          <w:sz w:val="20"/>
                          <w:szCs w:val="20"/>
                          <w:lang w:val="en-US"/>
                        </w:rPr>
                        <w:br/>
                      </w:r>
                      <w:r w:rsidRPr="007F6917">
                        <w:rPr>
                          <w:rFonts w:ascii="Calibri" w:hAnsi="Calibri" w:cs="Calibri"/>
                          <w:b/>
                          <w:bCs/>
                          <w:i/>
                          <w:sz w:val="20"/>
                          <w:szCs w:val="20"/>
                          <w:lang w:val="en-US"/>
                        </w:rPr>
                        <w:t>8.2 Guideline for an annual report from the Examination Board  An annual report from an Examination Board should address the following topics:</w:t>
                      </w:r>
                      <w:r w:rsidRPr="007F6917">
                        <w:rPr>
                          <w:rFonts w:ascii="Calibri" w:hAnsi="Calibri" w:cs="Calibri"/>
                          <w:sz w:val="20"/>
                          <w:szCs w:val="20"/>
                          <w:lang w:val="en-US"/>
                        </w:rPr>
                        <w:br/>
                        <w:t xml:space="preserve">1. General working procedures (composition, tasks, </w:t>
                      </w:r>
                      <w:r w:rsidR="00591FFC" w:rsidRPr="007F6917">
                        <w:rPr>
                          <w:rFonts w:ascii="Calibri" w:hAnsi="Calibri" w:cs="Calibri"/>
                          <w:sz w:val="20"/>
                          <w:szCs w:val="20"/>
                          <w:lang w:val="en-US"/>
                        </w:rPr>
                        <w:t>authorizations</w:t>
                      </w:r>
                      <w:r w:rsidRPr="007F6917">
                        <w:rPr>
                          <w:rFonts w:ascii="Calibri" w:hAnsi="Calibri" w:cs="Calibri"/>
                          <w:sz w:val="20"/>
                          <w:szCs w:val="20"/>
                          <w:lang w:val="en-US"/>
                        </w:rPr>
                        <w:t xml:space="preserve">, appointed committees). </w:t>
                      </w:r>
                      <w:r w:rsidR="00591FFC" w:rsidRPr="007F6917">
                        <w:rPr>
                          <w:rFonts w:ascii="Calibri" w:hAnsi="Calibri" w:cs="Calibri"/>
                          <w:sz w:val="20"/>
                          <w:szCs w:val="20"/>
                          <w:lang w:val="en-US"/>
                        </w:rPr>
                        <w:br/>
                      </w:r>
                      <w:r w:rsidRPr="007F6917">
                        <w:rPr>
                          <w:rFonts w:ascii="Calibri" w:hAnsi="Calibri" w:cs="Calibri"/>
                          <w:sz w:val="20"/>
                          <w:szCs w:val="20"/>
                          <w:lang w:val="en-US"/>
                        </w:rPr>
                        <w:t xml:space="preserve">2. Working methods for safeguarding the quality of assessments, an overview of findings.  </w:t>
                      </w:r>
                      <w:r w:rsidRPr="007F6917">
                        <w:rPr>
                          <w:rFonts w:ascii="Calibri" w:hAnsi="Calibri" w:cs="Calibri"/>
                          <w:sz w:val="20"/>
                          <w:szCs w:val="20"/>
                          <w:lang w:val="en-US"/>
                        </w:rPr>
                        <w:br/>
                        <w:t xml:space="preserve">3. Overview of appointment of examiners and termination of such appointments. </w:t>
                      </w:r>
                      <w:r w:rsidRPr="007F6917">
                        <w:rPr>
                          <w:rFonts w:ascii="Calibri" w:hAnsi="Calibri" w:cs="Calibri"/>
                          <w:sz w:val="20"/>
                          <w:szCs w:val="20"/>
                          <w:lang w:val="en-US"/>
                        </w:rPr>
                        <w:br/>
                        <w:t xml:space="preserve">4. An overview of decisions on individual students in line with the EER for the academic year. </w:t>
                      </w:r>
                      <w:r w:rsidRPr="007F6917">
                        <w:rPr>
                          <w:rFonts w:ascii="Calibri" w:hAnsi="Calibri" w:cs="Calibri"/>
                          <w:sz w:val="20"/>
                          <w:szCs w:val="20"/>
                          <w:lang w:val="en-US"/>
                        </w:rPr>
                        <w:br/>
                        <w:t xml:space="preserve">5. An overview of advisory / policy tasks and recommendations. </w:t>
                      </w:r>
                      <w:r w:rsidRPr="007F6917">
                        <w:rPr>
                          <w:rFonts w:ascii="Calibri" w:hAnsi="Calibri" w:cs="Calibri"/>
                          <w:sz w:val="20"/>
                          <w:szCs w:val="20"/>
                          <w:lang w:val="en-US"/>
                        </w:rPr>
                        <w:br/>
                        <w:t xml:space="preserve">6. Evaluation of the performance of the Examination Board itself (based on own KPI’s). </w:t>
                      </w:r>
                      <w:hyperlink r:id="rId7" w:tgtFrame="_blank" w:history="1">
                        <w:r w:rsidRPr="00EB762A">
                          <w:rPr>
                            <w:rStyle w:val="Hyperlink"/>
                            <w:rFonts w:ascii="Calibri" w:hAnsi="Calibri" w:cs="Calibri"/>
                            <w:sz w:val="16"/>
                            <w:szCs w:val="16"/>
                          </w:rPr>
                          <w:t>https://www.utwente.nl/en/examination-board/safeguarding/ut/quality-assurance-framework-student-assessment-ut.pdf</w:t>
                        </w:r>
                      </w:hyperlink>
                    </w:p>
                    <w:p w14:paraId="4DE1FA80" w14:textId="77777777" w:rsidR="000D37DF" w:rsidRPr="00EB762A" w:rsidRDefault="000D37DF" w:rsidP="000D37DF">
                      <w:pPr>
                        <w:jc w:val="center"/>
                      </w:pPr>
                    </w:p>
                  </w:txbxContent>
                </v:textbox>
              </v:roundrect>
            </w:pict>
          </mc:Fallback>
        </mc:AlternateContent>
      </w:r>
      <w:r w:rsidR="008E0ACA" w:rsidRPr="009C688B">
        <w:rPr>
          <w:b/>
          <w:color w:val="365F91" w:themeColor="accent1" w:themeShade="BF"/>
        </w:rPr>
        <w:t xml:space="preserve">Vorm </w:t>
      </w:r>
      <w:r w:rsidR="008E0ACA" w:rsidRPr="009C688B">
        <w:rPr>
          <w:color w:val="365F91" w:themeColor="accent1" w:themeShade="BF"/>
        </w:rPr>
        <w:br/>
      </w:r>
      <w:r w:rsidR="008E0ACA" w:rsidRPr="000D37DF">
        <w:t xml:space="preserve">Er zijn geen wettelijke regels voor de inhoud of vorm van een dergelijk verslag. In het UT </w:t>
      </w:r>
      <w:proofErr w:type="spellStart"/>
      <w:r w:rsidR="008E0ACA" w:rsidRPr="000D37DF">
        <w:t>Toetskader</w:t>
      </w:r>
      <w:proofErr w:type="spellEnd"/>
      <w:r w:rsidR="008E0ACA" w:rsidRPr="000D37DF">
        <w:t xml:space="preserve"> (</w:t>
      </w:r>
      <w:proofErr w:type="spellStart"/>
      <w:r w:rsidR="008E0ACA" w:rsidRPr="000D37DF">
        <w:t>Quality</w:t>
      </w:r>
      <w:proofErr w:type="spellEnd"/>
      <w:r w:rsidR="008E0ACA" w:rsidRPr="000D37DF">
        <w:t xml:space="preserve"> Assurance Framework </w:t>
      </w:r>
      <w:proofErr w:type="spellStart"/>
      <w:r w:rsidR="008E0ACA" w:rsidRPr="000D37DF">
        <w:t>for</w:t>
      </w:r>
      <w:proofErr w:type="spellEnd"/>
      <w:r w:rsidR="008E0ACA" w:rsidRPr="000D37DF">
        <w:t xml:space="preserve"> Student Assessment UT. Dec. 2016) worden enkele richtlijnen aangegeven voor de inhoud, zie kader. </w:t>
      </w:r>
      <w:r w:rsidR="000D37DF">
        <w:t>Het lijkt raadzaam in ieder geval verslag te doen van de wijze waarop tegemoet is gekomen aan alle wettelijke taken.</w:t>
      </w:r>
      <w:r w:rsidR="008E0ACA" w:rsidRPr="000D37DF">
        <w:br/>
      </w:r>
      <w:r w:rsidR="00B36DB4">
        <w:t>E</w:t>
      </w:r>
      <w:r w:rsidR="008E0ACA" w:rsidRPr="000D37DF">
        <w:t xml:space="preserve">r wordt wettelijk ook niet aangegeven dat er </w:t>
      </w:r>
      <w:r w:rsidR="008E0ACA" w:rsidRPr="00B36DB4">
        <w:rPr>
          <w:u w:val="single"/>
        </w:rPr>
        <w:t>overleg</w:t>
      </w:r>
      <w:r w:rsidR="008E0ACA" w:rsidRPr="000D37DF">
        <w:t xml:space="preserve"> hierover moet plaatsvinden met de decaan, maar dit lijkt zeker raadzaam.  </w:t>
      </w:r>
      <w:r w:rsidR="00D457E4">
        <w:t>V</w:t>
      </w:r>
      <w:r w:rsidR="00D457E4" w:rsidRPr="000D37DF">
        <w:t xml:space="preserve">oor examencommissies kan het overleg de gelegenheid bieden om </w:t>
      </w:r>
      <w:r w:rsidR="00D457E4">
        <w:t xml:space="preserve">o.a. </w:t>
      </w:r>
      <w:r w:rsidR="00D457E4" w:rsidRPr="000D37DF">
        <w:t>geconstateerde knelpunten</w:t>
      </w:r>
      <w:r>
        <w:t>, adviezen</w:t>
      </w:r>
      <w:r w:rsidR="00D457E4" w:rsidRPr="000D37DF">
        <w:t xml:space="preserve"> </w:t>
      </w:r>
      <w:r>
        <w:t>en</w:t>
      </w:r>
      <w:r w:rsidR="00D457E4" w:rsidRPr="000D37DF">
        <w:t xml:space="preserve"> wensen te bespreken. </w:t>
      </w:r>
      <w:r w:rsidR="008E0ACA" w:rsidRPr="000D37DF">
        <w:t>Voor een decaan (instelli</w:t>
      </w:r>
      <w:r>
        <w:t>ngs-bestuur</w:t>
      </w:r>
      <w:r w:rsidR="008E0ACA" w:rsidRPr="000D37DF">
        <w:t>) is het van belang zicht te h</w:t>
      </w:r>
      <w:r w:rsidR="00B36DB4">
        <w:t xml:space="preserve">ebben </w:t>
      </w:r>
      <w:r w:rsidR="008E0ACA" w:rsidRPr="000D37DF">
        <w:t>op het functioneren van de examencommissies</w:t>
      </w:r>
      <w:r>
        <w:t xml:space="preserve"> en om, wanneer nodig,  alert te kunnen reageren bij gesignaleerde knelpunten rond toetsing en de borging van het eindniveau. </w:t>
      </w:r>
      <w:r>
        <w:br/>
        <w:t>De</w:t>
      </w:r>
      <w:r w:rsidR="008E0ACA">
        <w:t xml:space="preserve">ze notitie geeft ter voorbeeld een overzicht van onderwerpen die in een jaarverslag aan bod  kunnen komen. </w:t>
      </w:r>
    </w:p>
    <w:p w14:paraId="04B64BFB" w14:textId="4387615F" w:rsidR="00B36DB4" w:rsidRDefault="00B36DB4" w:rsidP="000D37DF">
      <w:pPr>
        <w:spacing w:line="240" w:lineRule="auto"/>
      </w:pPr>
    </w:p>
    <w:p w14:paraId="608D9FD8" w14:textId="77777777" w:rsidR="00B36DB4" w:rsidRDefault="00B36DB4" w:rsidP="000D37DF">
      <w:pPr>
        <w:spacing w:line="240" w:lineRule="auto"/>
      </w:pPr>
    </w:p>
    <w:p w14:paraId="3439FC22" w14:textId="77777777" w:rsidR="00B36DB4" w:rsidRDefault="00B36DB4" w:rsidP="000D37DF">
      <w:pPr>
        <w:spacing w:line="240" w:lineRule="auto"/>
      </w:pPr>
    </w:p>
    <w:p w14:paraId="2F8A75F3" w14:textId="77777777" w:rsidR="00B36DB4" w:rsidRDefault="00B36DB4" w:rsidP="000D37DF">
      <w:pPr>
        <w:spacing w:line="240" w:lineRule="auto"/>
      </w:pPr>
    </w:p>
    <w:p w14:paraId="6DDBBDB2" w14:textId="77777777" w:rsidR="00B36DB4" w:rsidRDefault="00B36DB4" w:rsidP="000D37DF">
      <w:pPr>
        <w:spacing w:line="240" w:lineRule="auto"/>
      </w:pPr>
    </w:p>
    <w:p w14:paraId="46B160FC" w14:textId="641C317C" w:rsidR="008E0ACA" w:rsidRPr="00C24A49" w:rsidRDefault="00C24A49" w:rsidP="000D37DF">
      <w:pPr>
        <w:spacing w:line="240" w:lineRule="auto"/>
        <w:rPr>
          <w:b/>
          <w:color w:val="0F243E" w:themeColor="text2" w:themeShade="80"/>
          <w:sz w:val="36"/>
          <w:szCs w:val="36"/>
        </w:rPr>
      </w:pPr>
      <w:r w:rsidRPr="009C688B">
        <w:rPr>
          <w:noProof/>
          <w:color w:val="365F91" w:themeColor="accent1" w:themeShade="BF"/>
          <w:lang w:eastAsia="nl-NL"/>
        </w:rPr>
        <w:lastRenderedPageBreak/>
        <w:drawing>
          <wp:anchor distT="0" distB="0" distL="114300" distR="114300" simplePos="0" relativeHeight="251663360" behindDoc="1" locked="0" layoutInCell="1" allowOverlap="1" wp14:anchorId="083B0FE4" wp14:editId="60390735">
            <wp:simplePos x="0" y="0"/>
            <wp:positionH relativeFrom="column">
              <wp:posOffset>4564380</wp:posOffset>
            </wp:positionH>
            <wp:positionV relativeFrom="paragraph">
              <wp:posOffset>-755015</wp:posOffset>
            </wp:positionV>
            <wp:extent cx="1617980" cy="1078230"/>
            <wp:effectExtent l="0" t="0" r="1270" b="7620"/>
            <wp:wrapTight wrapText="bothSides">
              <wp:wrapPolygon edited="0">
                <wp:start x="0" y="0"/>
                <wp:lineTo x="0" y="21371"/>
                <wp:lineTo x="21363" y="21371"/>
                <wp:lineTo x="21363" y="0"/>
                <wp:lineTo x="0" y="0"/>
              </wp:wrapPolygon>
            </wp:wrapTight>
            <wp:docPr id="5" name="Afbeelding 5" descr="Afbeeldingsresultaat voor annu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nual re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ACA" w:rsidRPr="00C24A49">
        <w:rPr>
          <w:b/>
          <w:color w:val="0F243E" w:themeColor="text2" w:themeShade="80"/>
          <w:sz w:val="36"/>
          <w:szCs w:val="36"/>
        </w:rPr>
        <w:t>Aandachtsgebieden voor een jaarverslag</w:t>
      </w:r>
    </w:p>
    <w:p w14:paraId="51EC778F" w14:textId="2E8661E6" w:rsidR="009C688B" w:rsidRDefault="009C688B" w:rsidP="003B39EE">
      <w:pPr>
        <w:spacing w:after="0" w:line="240" w:lineRule="auto"/>
        <w:rPr>
          <w:b/>
        </w:rPr>
      </w:pPr>
      <w:r>
        <w:rPr>
          <w:b/>
          <w:noProof/>
          <w:lang w:eastAsia="nl-NL"/>
        </w:rPr>
        <mc:AlternateContent>
          <mc:Choice Requires="wps">
            <w:drawing>
              <wp:anchor distT="0" distB="0" distL="114300" distR="114300" simplePos="0" relativeHeight="251661312" behindDoc="0" locked="0" layoutInCell="1" allowOverlap="1" wp14:anchorId="5D4EF4FF" wp14:editId="4E584C02">
                <wp:simplePos x="0" y="0"/>
                <wp:positionH relativeFrom="column">
                  <wp:posOffset>-106775</wp:posOffset>
                </wp:positionH>
                <wp:positionV relativeFrom="paragraph">
                  <wp:posOffset>29626</wp:posOffset>
                </wp:positionV>
                <wp:extent cx="6287248" cy="971044"/>
                <wp:effectExtent l="0" t="0" r="0" b="635"/>
                <wp:wrapNone/>
                <wp:docPr id="4" name="Tekstvak 4"/>
                <wp:cNvGraphicFramePr/>
                <a:graphic xmlns:a="http://schemas.openxmlformats.org/drawingml/2006/main">
                  <a:graphicData uri="http://schemas.microsoft.com/office/word/2010/wordprocessingShape">
                    <wps:wsp>
                      <wps:cNvSpPr txBox="1"/>
                      <wps:spPr>
                        <a:xfrm>
                          <a:off x="0" y="0"/>
                          <a:ext cx="6287248" cy="971044"/>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3C6BF" w14:textId="60440C15" w:rsidR="009C688B" w:rsidRPr="00CF4450" w:rsidRDefault="009C688B" w:rsidP="009C688B">
                            <w:pPr>
                              <w:spacing w:line="240" w:lineRule="auto"/>
                              <w:rPr>
                                <w:i/>
                              </w:rPr>
                            </w:pPr>
                            <w:r w:rsidRPr="00CF4450">
                              <w:rPr>
                                <w:b/>
                              </w:rPr>
                              <w:t>Verwijzing naar andere documenten</w:t>
                            </w:r>
                            <w:r w:rsidR="00CF4450">
                              <w:rPr>
                                <w:b/>
                              </w:rPr>
                              <w:t xml:space="preserve">. </w:t>
                            </w:r>
                            <w:r w:rsidR="00CF4450" w:rsidRPr="00CF4450">
                              <w:rPr>
                                <w:i/>
                              </w:rPr>
                              <w:t xml:space="preserve">Als </w:t>
                            </w:r>
                            <w:r w:rsidRPr="00CF4450">
                              <w:rPr>
                                <w:i/>
                              </w:rPr>
                              <w:t xml:space="preserve">een aantal </w:t>
                            </w:r>
                            <w:r w:rsidR="00CF4450" w:rsidRPr="00CF4450">
                              <w:rPr>
                                <w:i/>
                              </w:rPr>
                              <w:t xml:space="preserve">zaken </w:t>
                            </w:r>
                            <w:r w:rsidRPr="00CF4450">
                              <w:rPr>
                                <w:i/>
                              </w:rPr>
                              <w:t xml:space="preserve">standaard </w:t>
                            </w:r>
                            <w:r w:rsidR="00CF4450" w:rsidRPr="00CF4450">
                              <w:rPr>
                                <w:i/>
                              </w:rPr>
                              <w:t xml:space="preserve">zijn </w:t>
                            </w:r>
                            <w:r w:rsidRPr="00CF4450">
                              <w:rPr>
                                <w:i/>
                              </w:rPr>
                              <w:t>vastgesteld</w:t>
                            </w:r>
                            <w:r w:rsidR="00CF4450" w:rsidRPr="00CF4450">
                              <w:rPr>
                                <w:i/>
                              </w:rPr>
                              <w:t xml:space="preserve">, bijvoorbeeld in </w:t>
                            </w:r>
                            <w:r w:rsidRPr="00CF4450">
                              <w:rPr>
                                <w:i/>
                              </w:rPr>
                              <w:t>een huishoudelijk reglement of R&amp;R</w:t>
                            </w:r>
                            <w:r w:rsidR="00CF4450" w:rsidRPr="00CF4450">
                              <w:rPr>
                                <w:i/>
                              </w:rPr>
                              <w:t xml:space="preserve">, kan hier naar </w:t>
                            </w:r>
                            <w:r w:rsidRPr="00CF4450">
                              <w:rPr>
                                <w:i/>
                              </w:rPr>
                              <w:t>verwezen worden, zoals o.a. de  profielschets voor (interne/externe)</w:t>
                            </w:r>
                            <w:r w:rsidR="00CF4450" w:rsidRPr="00CF4450">
                              <w:rPr>
                                <w:i/>
                              </w:rPr>
                              <w:t xml:space="preserve"> examencommissie</w:t>
                            </w:r>
                            <w:r w:rsidRPr="00CF4450">
                              <w:rPr>
                                <w:i/>
                              </w:rPr>
                              <w:t>leden; betrokken adviseurs en hun respectievelijke rollen en inbreng; wijze van besluitvorming en vergaderorde; regels en procedures wat betreft administratie, archivering en vastlegging besluiten (werkwijze, overzicht en verwijzingen).</w:t>
                            </w:r>
                          </w:p>
                          <w:p w14:paraId="2A641B89" w14:textId="77777777" w:rsidR="009C688B" w:rsidRDefault="009C6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EF4FF" id="_x0000_t202" coordsize="21600,21600" o:spt="202" path="m,l,21600r21600,l21600,xe">
                <v:stroke joinstyle="miter"/>
                <v:path gradientshapeok="t" o:connecttype="rect"/>
              </v:shapetype>
              <v:shape id="Tekstvak 4" o:spid="_x0000_s1027" type="#_x0000_t202" style="position:absolute;margin-left:-8.4pt;margin-top:2.35pt;width:495.05pt;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" fillcolor="#dbe5f1 [660]" stroked="f" strokeweight=".5pt">
                <v:textbox>
                  <w:txbxContent>
                    <w:p w14:paraId="5E03C6BF" w14:textId="60440C15" w:rsidR="009C688B" w:rsidRPr="00CF4450" w:rsidRDefault="009C688B" w:rsidP="009C688B">
                      <w:pPr>
                        <w:spacing w:line="240" w:lineRule="auto"/>
                        <w:rPr>
                          <w:i/>
                        </w:rPr>
                      </w:pPr>
                      <w:r w:rsidRPr="00CF4450">
                        <w:rPr>
                          <w:b/>
                        </w:rPr>
                        <w:t>Verwijzing naar andere documenten</w:t>
                      </w:r>
                      <w:r w:rsidR="00CF4450">
                        <w:rPr>
                          <w:b/>
                        </w:rPr>
                        <w:t xml:space="preserve">. </w:t>
                      </w:r>
                      <w:r w:rsidR="00CF4450" w:rsidRPr="00CF4450">
                        <w:rPr>
                          <w:i/>
                        </w:rPr>
                        <w:t xml:space="preserve">Als </w:t>
                      </w:r>
                      <w:r w:rsidRPr="00CF4450">
                        <w:rPr>
                          <w:i/>
                        </w:rPr>
                        <w:t xml:space="preserve">een aantal </w:t>
                      </w:r>
                      <w:r w:rsidR="00CF4450" w:rsidRPr="00CF4450">
                        <w:rPr>
                          <w:i/>
                        </w:rPr>
                        <w:t xml:space="preserve">zaken </w:t>
                      </w:r>
                      <w:r w:rsidRPr="00CF4450">
                        <w:rPr>
                          <w:i/>
                        </w:rPr>
                        <w:t xml:space="preserve">standaard </w:t>
                      </w:r>
                      <w:r w:rsidR="00CF4450" w:rsidRPr="00CF4450">
                        <w:rPr>
                          <w:i/>
                        </w:rPr>
                        <w:t xml:space="preserve">zijn </w:t>
                      </w:r>
                      <w:r w:rsidRPr="00CF4450">
                        <w:rPr>
                          <w:i/>
                        </w:rPr>
                        <w:t>vastgesteld</w:t>
                      </w:r>
                      <w:r w:rsidR="00CF4450" w:rsidRPr="00CF4450">
                        <w:rPr>
                          <w:i/>
                        </w:rPr>
                        <w:t xml:space="preserve">, bijvoorbeeld in </w:t>
                      </w:r>
                      <w:r w:rsidRPr="00CF4450">
                        <w:rPr>
                          <w:i/>
                        </w:rPr>
                        <w:t>een huishoudelijk reglement of R&amp;R</w:t>
                      </w:r>
                      <w:r w:rsidR="00CF4450" w:rsidRPr="00CF4450">
                        <w:rPr>
                          <w:i/>
                        </w:rPr>
                        <w:t xml:space="preserve">, kan hier naar </w:t>
                      </w:r>
                      <w:r w:rsidRPr="00CF4450">
                        <w:rPr>
                          <w:i/>
                        </w:rPr>
                        <w:t>verwezen worden, zoals o.a. de  profielschets voor (interne/externe)</w:t>
                      </w:r>
                      <w:r w:rsidR="00CF4450" w:rsidRPr="00CF4450">
                        <w:rPr>
                          <w:i/>
                        </w:rPr>
                        <w:t xml:space="preserve"> examencommissie</w:t>
                      </w:r>
                      <w:r w:rsidRPr="00CF4450">
                        <w:rPr>
                          <w:i/>
                        </w:rPr>
                        <w:t>leden; betrokken adviseurs en hun respectievelijke rollen en inbreng; wijze van besluitvorming en vergaderorde; regels en procedures wat betreft administratie, archivering en vastlegging besluiten (werkwijze, overzicht en verwijzingen).</w:t>
                      </w:r>
                    </w:p>
                    <w:p w14:paraId="2A641B89" w14:textId="77777777" w:rsidR="009C688B" w:rsidRDefault="009C688B"/>
                  </w:txbxContent>
                </v:textbox>
              </v:shape>
            </w:pict>
          </mc:Fallback>
        </mc:AlternateContent>
      </w:r>
    </w:p>
    <w:p w14:paraId="77B3918C" w14:textId="77777777" w:rsidR="009C688B" w:rsidRDefault="009C688B" w:rsidP="003B39EE">
      <w:pPr>
        <w:spacing w:after="0" w:line="240" w:lineRule="auto"/>
        <w:rPr>
          <w:b/>
        </w:rPr>
      </w:pPr>
    </w:p>
    <w:p w14:paraId="3EE39794" w14:textId="77777777" w:rsidR="009C688B" w:rsidRDefault="009C688B" w:rsidP="003B39EE">
      <w:pPr>
        <w:spacing w:after="0" w:line="240" w:lineRule="auto"/>
        <w:rPr>
          <w:b/>
        </w:rPr>
      </w:pPr>
    </w:p>
    <w:p w14:paraId="3C3ADC03" w14:textId="77777777" w:rsidR="009C688B" w:rsidRDefault="009C688B" w:rsidP="003B39EE">
      <w:pPr>
        <w:spacing w:after="0" w:line="240" w:lineRule="auto"/>
        <w:rPr>
          <w:b/>
        </w:rPr>
      </w:pPr>
    </w:p>
    <w:p w14:paraId="78E40399" w14:textId="381591C7" w:rsidR="009C688B" w:rsidRDefault="009C688B" w:rsidP="003B39EE">
      <w:pPr>
        <w:spacing w:after="0" w:line="240" w:lineRule="auto"/>
        <w:rPr>
          <w:b/>
        </w:rPr>
      </w:pPr>
    </w:p>
    <w:p w14:paraId="5E6AEF6E" w14:textId="77777777" w:rsidR="009C688B" w:rsidRDefault="009C688B" w:rsidP="003B39EE">
      <w:pPr>
        <w:spacing w:after="0" w:line="240" w:lineRule="auto"/>
        <w:rPr>
          <w:b/>
        </w:rPr>
      </w:pPr>
    </w:p>
    <w:p w14:paraId="0781F14C" w14:textId="77777777" w:rsidR="009C688B" w:rsidRDefault="009C688B" w:rsidP="003B39EE">
      <w:pPr>
        <w:spacing w:after="0" w:line="240" w:lineRule="auto"/>
        <w:rPr>
          <w:b/>
        </w:rPr>
      </w:pPr>
    </w:p>
    <w:p w14:paraId="45FD695F" w14:textId="3038FF76" w:rsidR="00D457E4" w:rsidRDefault="00CF4450" w:rsidP="003B39EE">
      <w:pPr>
        <w:spacing w:after="0" w:line="240" w:lineRule="auto"/>
      </w:pPr>
      <w:r>
        <w:rPr>
          <w:b/>
        </w:rPr>
        <w:br/>
      </w:r>
      <w:r w:rsidR="003B39EE" w:rsidRPr="00CF4450">
        <w:rPr>
          <w:b/>
          <w:color w:val="0F243E" w:themeColor="text2" w:themeShade="80"/>
        </w:rPr>
        <w:t xml:space="preserve">Samenstelling, reikwijdte en functioneren van de examencommissie </w:t>
      </w:r>
      <w:r w:rsidR="00D457E4" w:rsidRPr="00CF4450">
        <w:rPr>
          <w:b/>
          <w:color w:val="0F243E" w:themeColor="text2" w:themeShade="80"/>
        </w:rPr>
        <w:br/>
      </w:r>
      <w:r w:rsidR="00734CEB" w:rsidRPr="00734CEB">
        <w:rPr>
          <w:i/>
        </w:rPr>
        <w:t>Wie waren er dit jaar bij betrokken en op welke wijze werd er gewerkt? H</w:t>
      </w:r>
      <w:r w:rsidR="00D457E4" w:rsidRPr="00734CEB">
        <w:rPr>
          <w:i/>
        </w:rPr>
        <w:t>ierbij kun je denken aan onderwerpen als:</w:t>
      </w:r>
    </w:p>
    <w:p w14:paraId="6A038F2D" w14:textId="6F8FBDDD" w:rsidR="00D457E4" w:rsidRPr="00CF4450" w:rsidRDefault="00D457E4" w:rsidP="00CF4450">
      <w:pPr>
        <w:pStyle w:val="ListParagraph"/>
        <w:numPr>
          <w:ilvl w:val="0"/>
          <w:numId w:val="10"/>
        </w:numPr>
        <w:spacing w:line="240" w:lineRule="auto"/>
        <w:ind w:left="567" w:hanging="567"/>
        <w:rPr>
          <w:i/>
        </w:rPr>
      </w:pPr>
      <w:r w:rsidRPr="00CF4450">
        <w:rPr>
          <w:i/>
        </w:rPr>
        <w:t>s</w:t>
      </w:r>
      <w:r w:rsidR="008E0ACA" w:rsidRPr="00CF4450">
        <w:rPr>
          <w:i/>
        </w:rPr>
        <w:t>amenstelling examencommissie per …. (kalenderjaar; nieuwe benoemingen en beëindiging lidmaatschap)</w:t>
      </w:r>
      <w:r w:rsidRPr="00CF4450">
        <w:rPr>
          <w:i/>
        </w:rPr>
        <w:t>,</w:t>
      </w:r>
      <w:r w:rsidR="008E0ACA" w:rsidRPr="00CF4450">
        <w:rPr>
          <w:i/>
        </w:rPr>
        <w:t xml:space="preserve"> </w:t>
      </w:r>
      <w:r w:rsidR="003B39EE" w:rsidRPr="00CF4450">
        <w:rPr>
          <w:i/>
        </w:rPr>
        <w:t>achtergrond</w:t>
      </w:r>
      <w:r w:rsidR="008E0ACA" w:rsidRPr="00CF4450">
        <w:rPr>
          <w:i/>
        </w:rPr>
        <w:t>gegevens leden</w:t>
      </w:r>
      <w:r w:rsidRPr="00CF4450">
        <w:rPr>
          <w:i/>
        </w:rPr>
        <w:t xml:space="preserve"> en ondersteunende medewerkers (griffier, secretariaat)</w:t>
      </w:r>
      <w:r w:rsidR="008E0ACA" w:rsidRPr="00CF4450">
        <w:rPr>
          <w:i/>
        </w:rPr>
        <w:t xml:space="preserve">, verdeling rollen binnen </w:t>
      </w:r>
      <w:r w:rsidRPr="00CF4450">
        <w:rPr>
          <w:i/>
        </w:rPr>
        <w:t xml:space="preserve">de </w:t>
      </w:r>
      <w:proofErr w:type="spellStart"/>
      <w:r w:rsidR="008E0ACA" w:rsidRPr="00CF4450">
        <w:rPr>
          <w:i/>
        </w:rPr>
        <w:t>excie</w:t>
      </w:r>
      <w:proofErr w:type="spellEnd"/>
      <w:r w:rsidRPr="00CF4450">
        <w:rPr>
          <w:i/>
        </w:rPr>
        <w:t>;</w:t>
      </w:r>
    </w:p>
    <w:p w14:paraId="0BE6E691" w14:textId="53C818B0" w:rsidR="00D457E4" w:rsidRPr="00CF4450" w:rsidRDefault="00D457E4" w:rsidP="00CF4450">
      <w:pPr>
        <w:pStyle w:val="ListParagraph"/>
        <w:numPr>
          <w:ilvl w:val="0"/>
          <w:numId w:val="10"/>
        </w:numPr>
        <w:spacing w:line="240" w:lineRule="auto"/>
        <w:ind w:left="567" w:hanging="567"/>
        <w:rPr>
          <w:i/>
        </w:rPr>
      </w:pPr>
      <w:r w:rsidRPr="00CF4450">
        <w:rPr>
          <w:i/>
        </w:rPr>
        <w:t>vergaderschema e</w:t>
      </w:r>
      <w:r w:rsidR="00022A25" w:rsidRPr="00CF4450">
        <w:rPr>
          <w:i/>
        </w:rPr>
        <w:t xml:space="preserve">.a. contactvormen en -momenten; </w:t>
      </w:r>
    </w:p>
    <w:p w14:paraId="0C9D131F" w14:textId="71EC713D" w:rsidR="00D457E4" w:rsidRPr="00CF4450" w:rsidRDefault="00D457E4" w:rsidP="00CF4450">
      <w:pPr>
        <w:pStyle w:val="ListParagraph"/>
        <w:numPr>
          <w:ilvl w:val="0"/>
          <w:numId w:val="10"/>
        </w:numPr>
        <w:spacing w:line="240" w:lineRule="auto"/>
        <w:ind w:left="567" w:hanging="567"/>
        <w:rPr>
          <w:i/>
        </w:rPr>
      </w:pPr>
      <w:r w:rsidRPr="00CF4450">
        <w:rPr>
          <w:i/>
        </w:rPr>
        <w:t>mandateringen</w:t>
      </w:r>
      <w:r w:rsidR="00734CEB" w:rsidRPr="00CF4450">
        <w:rPr>
          <w:i/>
        </w:rPr>
        <w:t xml:space="preserve"> en registratie handtekening en regels voor toepassing;</w:t>
      </w:r>
    </w:p>
    <w:p w14:paraId="7A37C08F" w14:textId="5DDDC52D" w:rsidR="00067FED" w:rsidRPr="00CF4450" w:rsidRDefault="00067FED" w:rsidP="00CF4450">
      <w:pPr>
        <w:pStyle w:val="ListParagraph"/>
        <w:numPr>
          <w:ilvl w:val="0"/>
          <w:numId w:val="10"/>
        </w:numPr>
        <w:spacing w:line="240" w:lineRule="auto"/>
        <w:ind w:left="567" w:hanging="567"/>
        <w:rPr>
          <w:i/>
        </w:rPr>
      </w:pPr>
      <w:r w:rsidRPr="00CF4450">
        <w:rPr>
          <w:i/>
        </w:rPr>
        <w:t xml:space="preserve">overleg met de opleidingsdirecteur, decaan, gremia (bijvoorbeeld de OLC) e.a., inclusief de besproken punten; </w:t>
      </w:r>
      <w:r w:rsidR="00CF4450" w:rsidRPr="00CF4450">
        <w:rPr>
          <w:i/>
        </w:rPr>
        <w:t xml:space="preserve">NB. Raadzaam om het onafhankelijk functioneren te benadrukken en aan te tonen. </w:t>
      </w:r>
    </w:p>
    <w:p w14:paraId="7873C9F5" w14:textId="77777777" w:rsidR="003B39EE" w:rsidRPr="00CF4450" w:rsidRDefault="00734CEB" w:rsidP="00CF4450">
      <w:pPr>
        <w:pStyle w:val="ListParagraph"/>
        <w:numPr>
          <w:ilvl w:val="0"/>
          <w:numId w:val="10"/>
        </w:numPr>
        <w:spacing w:line="240" w:lineRule="auto"/>
        <w:ind w:left="567" w:hanging="567"/>
        <w:rPr>
          <w:i/>
        </w:rPr>
      </w:pPr>
      <w:r w:rsidRPr="00CF4450">
        <w:rPr>
          <w:i/>
        </w:rPr>
        <w:t xml:space="preserve">acties ter </w:t>
      </w:r>
      <w:r w:rsidR="00D457E4" w:rsidRPr="00CF4450">
        <w:rPr>
          <w:i/>
        </w:rPr>
        <w:t>deskundigheidsbevordering door leden (deelgenomen aan….; uitwis</w:t>
      </w:r>
      <w:r w:rsidRPr="00CF4450">
        <w:rPr>
          <w:i/>
        </w:rPr>
        <w:t>s</w:t>
      </w:r>
      <w:r w:rsidR="00D457E4" w:rsidRPr="00CF4450">
        <w:rPr>
          <w:i/>
        </w:rPr>
        <w:t>eling met… over…</w:t>
      </w:r>
      <w:r w:rsidRPr="00CF4450">
        <w:rPr>
          <w:i/>
        </w:rPr>
        <w:t>; kennis ingewonnen over… bij….</w:t>
      </w:r>
      <w:r w:rsidR="00D457E4" w:rsidRPr="00CF4450">
        <w:rPr>
          <w:i/>
        </w:rPr>
        <w:t>)</w:t>
      </w:r>
    </w:p>
    <w:p w14:paraId="5E416C9B" w14:textId="6B69438C" w:rsidR="00D457E4" w:rsidRPr="00CF4450" w:rsidRDefault="00591FFC" w:rsidP="00CF4450">
      <w:pPr>
        <w:pStyle w:val="ListParagraph"/>
        <w:numPr>
          <w:ilvl w:val="0"/>
          <w:numId w:val="10"/>
        </w:numPr>
        <w:spacing w:line="240" w:lineRule="auto"/>
        <w:ind w:left="567" w:hanging="567"/>
        <w:rPr>
          <w:i/>
        </w:rPr>
      </w:pPr>
      <w:r>
        <w:rPr>
          <w:i/>
        </w:rPr>
        <w:t xml:space="preserve">evaluatie van en </w:t>
      </w:r>
      <w:r w:rsidR="003B39EE" w:rsidRPr="00CF4450">
        <w:rPr>
          <w:i/>
        </w:rPr>
        <w:t>reflectie op het eigen functioneren</w:t>
      </w:r>
      <w:r w:rsidR="00734CEB" w:rsidRPr="00CF4450">
        <w:rPr>
          <w:i/>
        </w:rPr>
        <w:t>.</w:t>
      </w:r>
      <w:r w:rsidR="00D457E4" w:rsidRPr="00CF4450">
        <w:rPr>
          <w:i/>
        </w:rPr>
        <w:t xml:space="preserve"> </w:t>
      </w:r>
    </w:p>
    <w:p w14:paraId="16C128F9" w14:textId="77777777" w:rsidR="00734CEB" w:rsidRDefault="00734CEB" w:rsidP="00734CEB">
      <w:pPr>
        <w:pStyle w:val="ListParagraph"/>
        <w:spacing w:line="240" w:lineRule="auto"/>
      </w:pPr>
    </w:p>
    <w:p w14:paraId="7ABE8CD6" w14:textId="117498ED" w:rsidR="00022A25" w:rsidRPr="00022A25" w:rsidRDefault="00022A25" w:rsidP="00CF4450">
      <w:pPr>
        <w:spacing w:line="240" w:lineRule="auto"/>
        <w:rPr>
          <w:i/>
        </w:rPr>
      </w:pPr>
      <w:r w:rsidRPr="00CF4450">
        <w:rPr>
          <w:b/>
          <w:color w:val="0F243E" w:themeColor="text2" w:themeShade="80"/>
        </w:rPr>
        <w:t xml:space="preserve">Belangrijkste </w:t>
      </w:r>
      <w:r w:rsidR="0078427F" w:rsidRPr="00CF4450">
        <w:rPr>
          <w:b/>
          <w:color w:val="0F243E" w:themeColor="text2" w:themeShade="80"/>
        </w:rPr>
        <w:t xml:space="preserve">of bijzondere </w:t>
      </w:r>
      <w:r w:rsidRPr="00CF4450">
        <w:rPr>
          <w:b/>
          <w:color w:val="0F243E" w:themeColor="text2" w:themeShade="80"/>
        </w:rPr>
        <w:t>agendapunten, acties, bevindingen en besluiten</w:t>
      </w:r>
      <w:r w:rsidRPr="00CF4450">
        <w:rPr>
          <w:b/>
          <w:color w:val="0F243E" w:themeColor="text2" w:themeShade="80"/>
        </w:rPr>
        <w:br/>
      </w:r>
      <w:r w:rsidRPr="00022A25">
        <w:rPr>
          <w:i/>
        </w:rPr>
        <w:t xml:space="preserve">Hier gaat het met name om </w:t>
      </w:r>
      <w:r w:rsidR="00A72609">
        <w:rPr>
          <w:i/>
        </w:rPr>
        <w:t xml:space="preserve">een overzicht van </w:t>
      </w:r>
      <w:r w:rsidRPr="00022A25">
        <w:rPr>
          <w:i/>
        </w:rPr>
        <w:t>de besproken punten, acties en besluiten van de examencommissie op een hoger niveau dan het individuele studentniveau.</w:t>
      </w:r>
      <w:r>
        <w:rPr>
          <w:i/>
        </w:rPr>
        <w:t xml:space="preserve"> Bijvoorbeeld een</w:t>
      </w:r>
      <w:r>
        <w:t xml:space="preserve"> aanpassing van de R&amp;R of een zelf uitgevoerd onderzoek. </w:t>
      </w:r>
      <w:r w:rsidR="00A72609">
        <w:br/>
      </w:r>
      <w:r w:rsidR="00A72609">
        <w:br/>
      </w:r>
      <w:r w:rsidR="00A72609" w:rsidRPr="00CF4450">
        <w:rPr>
          <w:b/>
          <w:color w:val="0F243E" w:themeColor="text2" w:themeShade="80"/>
        </w:rPr>
        <w:t xml:space="preserve">Aanwijzing examinatoren </w:t>
      </w:r>
      <w:r w:rsidR="00A72609" w:rsidRPr="00CF4450">
        <w:rPr>
          <w:i/>
        </w:rPr>
        <w:br/>
      </w:r>
      <w:r w:rsidR="00A72609">
        <w:rPr>
          <w:i/>
        </w:rPr>
        <w:t>Op welke wijze zijn de examinatoren aangewezen</w:t>
      </w:r>
      <w:r w:rsidR="0078427F">
        <w:rPr>
          <w:i/>
        </w:rPr>
        <w:t xml:space="preserve"> (profiel, werkwijze)</w:t>
      </w:r>
      <w:r w:rsidR="00A72609">
        <w:rPr>
          <w:i/>
        </w:rPr>
        <w:t>.</w:t>
      </w:r>
      <w:r w:rsidR="0078427F">
        <w:rPr>
          <w:i/>
        </w:rPr>
        <w:t xml:space="preserve"> Hoe wordt de deskundigheid geborgd? Aantallen, bijzonderheden.   </w:t>
      </w:r>
      <w:r w:rsidR="00A72609">
        <w:rPr>
          <w:i/>
        </w:rPr>
        <w:t xml:space="preserve"> </w:t>
      </w:r>
    </w:p>
    <w:p w14:paraId="4FCA7619" w14:textId="46A519E6" w:rsidR="008E0ACA" w:rsidRPr="00022A25" w:rsidRDefault="0078427F" w:rsidP="00CF4450">
      <w:pPr>
        <w:spacing w:line="240" w:lineRule="auto"/>
        <w:rPr>
          <w:i/>
        </w:rPr>
      </w:pPr>
      <w:r w:rsidRPr="00CF4450">
        <w:rPr>
          <w:b/>
          <w:color w:val="0F243E" w:themeColor="text2" w:themeShade="80"/>
        </w:rPr>
        <w:t>Signalering en a</w:t>
      </w:r>
      <w:r w:rsidR="00734CEB" w:rsidRPr="00CF4450">
        <w:rPr>
          <w:b/>
          <w:color w:val="0F243E" w:themeColor="text2" w:themeShade="80"/>
        </w:rPr>
        <w:t>dvisering</w:t>
      </w:r>
      <w:r w:rsidRPr="00CF4450">
        <w:rPr>
          <w:b/>
          <w:color w:val="0F243E" w:themeColor="text2" w:themeShade="80"/>
        </w:rPr>
        <w:t>;</w:t>
      </w:r>
      <w:r w:rsidR="00734CEB" w:rsidRPr="00CF4450">
        <w:rPr>
          <w:b/>
          <w:color w:val="0F243E" w:themeColor="text2" w:themeShade="80"/>
        </w:rPr>
        <w:t xml:space="preserve"> betrokkenheid bij accreditaties</w:t>
      </w:r>
      <w:r w:rsidR="00734CEB" w:rsidRPr="00CF4450">
        <w:rPr>
          <w:b/>
          <w:color w:val="0F243E" w:themeColor="text2" w:themeShade="80"/>
        </w:rPr>
        <w:br/>
      </w:r>
      <w:r w:rsidR="009C688B">
        <w:rPr>
          <w:i/>
        </w:rPr>
        <w:t xml:space="preserve">Welke knelpunten of aandachtspunten signaleert de examencommissie? Op welke wijze zijn deze punten geadresseerd? </w:t>
      </w:r>
      <w:r w:rsidR="00734CEB" w:rsidRPr="00022A25">
        <w:rPr>
          <w:i/>
        </w:rPr>
        <w:t>Aan wie en op welke gebieden he</w:t>
      </w:r>
      <w:r w:rsidR="003B39EE" w:rsidRPr="00022A25">
        <w:rPr>
          <w:i/>
        </w:rPr>
        <w:t xml:space="preserve">eft de examencommissie </w:t>
      </w:r>
      <w:r w:rsidR="00734CEB" w:rsidRPr="00022A25">
        <w:rPr>
          <w:i/>
        </w:rPr>
        <w:t xml:space="preserve">advies gegeven? Hierbij kan gedacht worden aan advies op het gebied van bijvoorbeeld het OER, het toetsbeleid van de opleiding </w:t>
      </w:r>
      <w:r w:rsidR="00067FED" w:rsidRPr="00022A25">
        <w:rPr>
          <w:i/>
        </w:rPr>
        <w:t>en</w:t>
      </w:r>
      <w:r w:rsidR="00734CEB" w:rsidRPr="00022A25">
        <w:rPr>
          <w:i/>
        </w:rPr>
        <w:t xml:space="preserve"> de implementatie daarvan, s</w:t>
      </w:r>
      <w:r w:rsidR="008E0ACA" w:rsidRPr="00022A25">
        <w:rPr>
          <w:i/>
        </w:rPr>
        <w:t xml:space="preserve">ignalering </w:t>
      </w:r>
      <w:r w:rsidR="00734CEB" w:rsidRPr="00022A25">
        <w:rPr>
          <w:i/>
        </w:rPr>
        <w:t xml:space="preserve">van aandachtspunten en </w:t>
      </w:r>
      <w:r w:rsidR="008E0ACA" w:rsidRPr="00022A25">
        <w:rPr>
          <w:i/>
        </w:rPr>
        <w:t xml:space="preserve">advisering </w:t>
      </w:r>
      <w:r w:rsidR="00734CEB" w:rsidRPr="00022A25">
        <w:rPr>
          <w:i/>
        </w:rPr>
        <w:t xml:space="preserve">over </w:t>
      </w:r>
      <w:r w:rsidR="00067FED" w:rsidRPr="00022A25">
        <w:rPr>
          <w:i/>
        </w:rPr>
        <w:t xml:space="preserve">diverse zaken rond toetsing zoals </w:t>
      </w:r>
      <w:r w:rsidR="00734CEB" w:rsidRPr="00022A25">
        <w:rPr>
          <w:i/>
        </w:rPr>
        <w:t>de</w:t>
      </w:r>
      <w:r w:rsidR="008E0ACA" w:rsidRPr="00022A25">
        <w:rPr>
          <w:i/>
        </w:rPr>
        <w:t xml:space="preserve"> organisatie van de toetsing</w:t>
      </w:r>
      <w:r w:rsidR="00067FED" w:rsidRPr="00022A25">
        <w:rPr>
          <w:i/>
        </w:rPr>
        <w:t xml:space="preserve">.  </w:t>
      </w:r>
      <w:r w:rsidR="00734CEB" w:rsidRPr="00022A25">
        <w:rPr>
          <w:i/>
        </w:rPr>
        <w:t xml:space="preserve"> </w:t>
      </w:r>
      <w:r w:rsidR="00067FED" w:rsidRPr="00022A25">
        <w:rPr>
          <w:i/>
        </w:rPr>
        <w:br/>
        <w:t xml:space="preserve">Indien de examencommissie betrokken was bij een visitatie of de voorbereiding daarop, kan dit beschreven worden. Of de voor de examencommissie relevante uitkomsten van de visitatie. </w:t>
      </w:r>
    </w:p>
    <w:p w14:paraId="3DA7FEC6" w14:textId="44D92D60" w:rsidR="00067FED" w:rsidRDefault="008E0ACA" w:rsidP="00CF4450">
      <w:pPr>
        <w:spacing w:line="240" w:lineRule="auto"/>
        <w:rPr>
          <w:i/>
        </w:rPr>
      </w:pPr>
      <w:r w:rsidRPr="00CF4450">
        <w:rPr>
          <w:b/>
          <w:color w:val="0F243E" w:themeColor="text2" w:themeShade="80"/>
        </w:rPr>
        <w:t xml:space="preserve">Borging van </w:t>
      </w:r>
      <w:r w:rsidR="00067FED" w:rsidRPr="00CF4450">
        <w:rPr>
          <w:b/>
          <w:color w:val="0F243E" w:themeColor="text2" w:themeShade="80"/>
        </w:rPr>
        <w:t xml:space="preserve">de </w:t>
      </w:r>
      <w:r w:rsidRPr="00CF4450">
        <w:rPr>
          <w:b/>
          <w:color w:val="0F243E" w:themeColor="text2" w:themeShade="80"/>
        </w:rPr>
        <w:t xml:space="preserve">toetskwaliteit en </w:t>
      </w:r>
      <w:r w:rsidR="00067FED" w:rsidRPr="00CF4450">
        <w:rPr>
          <w:b/>
          <w:color w:val="0F243E" w:themeColor="text2" w:themeShade="80"/>
        </w:rPr>
        <w:t>de beoordeling</w:t>
      </w:r>
      <w:r w:rsidR="00067FED" w:rsidRPr="00CF4450">
        <w:rPr>
          <w:b/>
          <w:color w:val="0F243E" w:themeColor="text2" w:themeShade="80"/>
        </w:rPr>
        <w:br/>
      </w:r>
      <w:r w:rsidR="00067FED">
        <w:rPr>
          <w:i/>
        </w:rPr>
        <w:t xml:space="preserve">Hoe borgt de examencommissie de kwaliteit van de toetsing? </w:t>
      </w:r>
      <w:r w:rsidR="00067FED" w:rsidRPr="00067FED">
        <w:rPr>
          <w:i/>
        </w:rPr>
        <w:t xml:space="preserve">Welke acties zijn uitgevoerd op dit gebied? </w:t>
      </w:r>
      <w:r w:rsidR="00067FED">
        <w:rPr>
          <w:i/>
        </w:rPr>
        <w:t xml:space="preserve">Welke </w:t>
      </w:r>
      <w:r w:rsidR="00067FED">
        <w:t>werkwijze, procedures, instrumenten</w:t>
      </w:r>
      <w:r w:rsidR="00067FED" w:rsidRPr="00067FED">
        <w:rPr>
          <w:i/>
        </w:rPr>
        <w:t xml:space="preserve"> </w:t>
      </w:r>
      <w:r w:rsidR="00067FED">
        <w:rPr>
          <w:i/>
        </w:rPr>
        <w:t xml:space="preserve">zijn  ingezet? </w:t>
      </w:r>
      <w:r w:rsidR="00067FED" w:rsidRPr="00067FED">
        <w:rPr>
          <w:i/>
        </w:rPr>
        <w:t xml:space="preserve">Met welk beoogd doel? Wat is er bereikt? </w:t>
      </w:r>
      <w:r w:rsidR="00067FED">
        <w:rPr>
          <w:i/>
        </w:rPr>
        <w:t>Is er tevredenheid over wat er bereikt is?</w:t>
      </w:r>
      <w:r w:rsidR="00067FED">
        <w:rPr>
          <w:i/>
        </w:rPr>
        <w:br/>
        <w:t xml:space="preserve">Plannen: welke aandachtspunten zijn er nog? Wat dient nog onderzocht te worden? Concrete plannen voor komend jaar? </w:t>
      </w:r>
    </w:p>
    <w:p w14:paraId="3C8CDBEA" w14:textId="3095F3B0" w:rsidR="00D41CD5" w:rsidRPr="00CF4450" w:rsidRDefault="008E0ACA" w:rsidP="00CF4450">
      <w:pPr>
        <w:spacing w:after="0" w:line="240" w:lineRule="auto"/>
        <w:rPr>
          <w:i/>
        </w:rPr>
      </w:pPr>
      <w:r w:rsidRPr="00CF4450">
        <w:rPr>
          <w:b/>
          <w:color w:val="0F243E" w:themeColor="text2" w:themeShade="80"/>
        </w:rPr>
        <w:lastRenderedPageBreak/>
        <w:t xml:space="preserve">Borging </w:t>
      </w:r>
      <w:r w:rsidR="00EB762A">
        <w:rPr>
          <w:b/>
          <w:color w:val="0F243E" w:themeColor="text2" w:themeShade="80"/>
        </w:rPr>
        <w:t xml:space="preserve">van het </w:t>
      </w:r>
      <w:r w:rsidRPr="00CF4450">
        <w:rPr>
          <w:b/>
          <w:color w:val="0F243E" w:themeColor="text2" w:themeShade="80"/>
        </w:rPr>
        <w:t>eindniveau</w:t>
      </w:r>
      <w:r w:rsidR="00EB762A">
        <w:rPr>
          <w:b/>
          <w:color w:val="0F243E" w:themeColor="text2" w:themeShade="80"/>
        </w:rPr>
        <w:t xml:space="preserve"> / kwaliteit van de afstudeeropdrachten en -resultaten</w:t>
      </w:r>
      <w:r w:rsidR="003B39EE" w:rsidRPr="00CF4450">
        <w:rPr>
          <w:color w:val="0F243E" w:themeColor="text2" w:themeShade="80"/>
        </w:rPr>
        <w:br/>
      </w:r>
      <w:r w:rsidR="003B39EE" w:rsidRPr="00CF4450">
        <w:rPr>
          <w:i/>
        </w:rPr>
        <w:t>Op welke wijze wordt het eindniveau geborgd? Welke acties zijn uitgevoerd op dit gebied, bijvoorbeeld m.b.t. het afstudeertraject en de beoordeling daarvan? Welke werkwijze, procedures, instrumenten zijn  ingezet? Met welk beoogd doel? Wat is er bereikt? Is er tevredenheid over wat er bereikt is?</w:t>
      </w:r>
      <w:r w:rsidR="003B39EE" w:rsidRPr="00CF4450">
        <w:rPr>
          <w:i/>
        </w:rPr>
        <w:br/>
        <w:t>Plannen: welke aandachtspunten zijn er nog? Wat dient nog onderzocht te worden? Concrete plannen voor komend jaar?</w:t>
      </w:r>
      <w:r w:rsidR="0078427F">
        <w:t xml:space="preserve"> </w:t>
      </w:r>
      <w:r w:rsidR="0078427F">
        <w:br/>
      </w:r>
      <w:r w:rsidR="003B39EE">
        <w:br/>
      </w:r>
      <w:r w:rsidR="00D41CD5" w:rsidRPr="00CF4450">
        <w:rPr>
          <w:b/>
          <w:color w:val="0F243E" w:themeColor="text2" w:themeShade="80"/>
        </w:rPr>
        <w:t xml:space="preserve">Overzicht behandelde verzoeken/zaken </w:t>
      </w:r>
      <w:r w:rsidR="00D41CD5" w:rsidRPr="00CF4450">
        <w:rPr>
          <w:b/>
          <w:color w:val="0F243E" w:themeColor="text2" w:themeShade="80"/>
        </w:rPr>
        <w:br/>
      </w:r>
      <w:r w:rsidR="00D41CD5" w:rsidRPr="00CF4450">
        <w:rPr>
          <w:i/>
        </w:rPr>
        <w:t>Onder dit punt kan een overzicht worden gegeven navolgende punten</w:t>
      </w:r>
      <w:r w:rsidR="00A72609" w:rsidRPr="00CF4450">
        <w:rPr>
          <w:i/>
        </w:rPr>
        <w:t>:</w:t>
      </w:r>
      <w:r w:rsidR="00D41CD5" w:rsidRPr="00CF4450">
        <w:rPr>
          <w:i/>
        </w:rPr>
        <w:t xml:space="preserve"> </w:t>
      </w:r>
    </w:p>
    <w:p w14:paraId="71CDD079" w14:textId="77777777" w:rsidR="00A72609" w:rsidRPr="00CF4450" w:rsidRDefault="00D41CD5" w:rsidP="00CF4450">
      <w:pPr>
        <w:pStyle w:val="ListParagraph"/>
        <w:numPr>
          <w:ilvl w:val="0"/>
          <w:numId w:val="11"/>
        </w:numPr>
        <w:spacing w:after="0" w:line="240" w:lineRule="auto"/>
        <w:ind w:left="426" w:hanging="426"/>
        <w:rPr>
          <w:i/>
        </w:rPr>
      </w:pPr>
      <w:r w:rsidRPr="00CF4450">
        <w:rPr>
          <w:i/>
        </w:rPr>
        <w:t>het aantal en type behandelde individuele verzoeken</w:t>
      </w:r>
      <w:r w:rsidR="00A72609" w:rsidRPr="00CF4450">
        <w:rPr>
          <w:i/>
        </w:rPr>
        <w:t>, zoals:</w:t>
      </w:r>
    </w:p>
    <w:p w14:paraId="53C5119D" w14:textId="1DCE94ED" w:rsidR="00A72609" w:rsidRPr="00CF4450" w:rsidRDefault="00A72609" w:rsidP="00CF4450">
      <w:pPr>
        <w:pStyle w:val="ListParagraph"/>
        <w:numPr>
          <w:ilvl w:val="1"/>
          <w:numId w:val="11"/>
        </w:numPr>
        <w:spacing w:line="240" w:lineRule="auto"/>
        <w:ind w:left="851" w:hanging="426"/>
        <w:rPr>
          <w:i/>
        </w:rPr>
      </w:pPr>
      <w:r w:rsidRPr="00CF4450">
        <w:rPr>
          <w:i/>
        </w:rPr>
        <w:t>vrijstellingen (verzoeken, gehonoreerd, afgewezen)</w:t>
      </w:r>
    </w:p>
    <w:p w14:paraId="4A418901" w14:textId="511C0F1A" w:rsidR="00A72609" w:rsidRPr="00CF4450" w:rsidRDefault="00A72609" w:rsidP="00CF4450">
      <w:pPr>
        <w:pStyle w:val="ListParagraph"/>
        <w:numPr>
          <w:ilvl w:val="1"/>
          <w:numId w:val="11"/>
        </w:numPr>
        <w:spacing w:line="240" w:lineRule="auto"/>
        <w:ind w:left="851" w:hanging="426"/>
        <w:rPr>
          <w:i/>
        </w:rPr>
      </w:pPr>
      <w:r w:rsidRPr="00CF4450">
        <w:rPr>
          <w:i/>
        </w:rPr>
        <w:t>besluiten t.a.v. niet-reguliere toelating tot de opleiding</w:t>
      </w:r>
    </w:p>
    <w:p w14:paraId="461AB17D" w14:textId="77777777" w:rsidR="00A72609" w:rsidRPr="00CF4450" w:rsidRDefault="00A72609" w:rsidP="00CF4450">
      <w:pPr>
        <w:pStyle w:val="ListParagraph"/>
        <w:numPr>
          <w:ilvl w:val="1"/>
          <w:numId w:val="11"/>
        </w:numPr>
        <w:spacing w:line="240" w:lineRule="auto"/>
        <w:ind w:left="851" w:hanging="426"/>
        <w:rPr>
          <w:i/>
        </w:rPr>
      </w:pPr>
      <w:r w:rsidRPr="00CF4450">
        <w:rPr>
          <w:i/>
        </w:rPr>
        <w:t>extra herkansingen (verzoeken, gehonoreerd, afgewezen)</w:t>
      </w:r>
    </w:p>
    <w:p w14:paraId="434A6EDB" w14:textId="72D413FD" w:rsidR="00A72609" w:rsidRPr="00CF4450" w:rsidRDefault="00A72609" w:rsidP="00CF4450">
      <w:pPr>
        <w:pStyle w:val="ListParagraph"/>
        <w:numPr>
          <w:ilvl w:val="1"/>
          <w:numId w:val="11"/>
        </w:numPr>
        <w:spacing w:line="240" w:lineRule="auto"/>
        <w:ind w:left="851" w:hanging="426"/>
        <w:rPr>
          <w:i/>
        </w:rPr>
      </w:pPr>
      <w:r w:rsidRPr="00CF4450">
        <w:rPr>
          <w:i/>
        </w:rPr>
        <w:t>herbeoordeling (verzoeken, gehonoreerd, afgewezen)</w:t>
      </w:r>
    </w:p>
    <w:p w14:paraId="7F9AEE2D" w14:textId="77777777" w:rsidR="00A72609" w:rsidRPr="00CF4450" w:rsidRDefault="00A72609" w:rsidP="00CF4450">
      <w:pPr>
        <w:pStyle w:val="ListParagraph"/>
        <w:numPr>
          <w:ilvl w:val="1"/>
          <w:numId w:val="11"/>
        </w:numPr>
        <w:spacing w:line="240" w:lineRule="auto"/>
        <w:ind w:left="851" w:hanging="426"/>
        <w:rPr>
          <w:i/>
        </w:rPr>
      </w:pPr>
      <w:r w:rsidRPr="00CF4450">
        <w:rPr>
          <w:i/>
        </w:rPr>
        <w:t>afwijkend programma of afstudeertraject (verzoeken, gehonoreerd, afgewezen)</w:t>
      </w:r>
    </w:p>
    <w:p w14:paraId="1D179397" w14:textId="01D76E41" w:rsidR="00A72609" w:rsidRPr="00CF4450" w:rsidRDefault="00A72609" w:rsidP="00CF4450">
      <w:pPr>
        <w:pStyle w:val="ListParagraph"/>
        <w:numPr>
          <w:ilvl w:val="1"/>
          <w:numId w:val="11"/>
        </w:numPr>
        <w:spacing w:line="240" w:lineRule="auto"/>
        <w:ind w:left="851" w:hanging="426"/>
        <w:rPr>
          <w:i/>
        </w:rPr>
      </w:pPr>
      <w:r w:rsidRPr="00CF4450">
        <w:rPr>
          <w:i/>
        </w:rPr>
        <w:t>bijzondere (maatwerk) voorzieningen (bijv. voor studenten met een studiebeperking)</w:t>
      </w:r>
    </w:p>
    <w:p w14:paraId="2C85D076" w14:textId="36CA175C" w:rsidR="00A72609" w:rsidRPr="00CF4450" w:rsidRDefault="00A72609" w:rsidP="00CF4450">
      <w:pPr>
        <w:pStyle w:val="ListParagraph"/>
        <w:numPr>
          <w:ilvl w:val="1"/>
          <w:numId w:val="11"/>
        </w:numPr>
        <w:spacing w:line="240" w:lineRule="auto"/>
        <w:ind w:left="851" w:hanging="426"/>
        <w:rPr>
          <w:i/>
        </w:rPr>
      </w:pPr>
      <w:r w:rsidRPr="00CF4450">
        <w:rPr>
          <w:i/>
        </w:rPr>
        <w:t>overige</w:t>
      </w:r>
    </w:p>
    <w:p w14:paraId="74B897F5" w14:textId="5285E6AA" w:rsidR="00D41CD5" w:rsidRPr="00CF4450" w:rsidRDefault="00D41CD5" w:rsidP="00CF4450">
      <w:pPr>
        <w:pStyle w:val="ListParagraph"/>
        <w:numPr>
          <w:ilvl w:val="0"/>
          <w:numId w:val="11"/>
        </w:numPr>
        <w:spacing w:line="240" w:lineRule="auto"/>
        <w:ind w:left="426" w:hanging="426"/>
        <w:rPr>
          <w:i/>
        </w:rPr>
      </w:pPr>
      <w:r w:rsidRPr="00CF4450">
        <w:rPr>
          <w:i/>
        </w:rPr>
        <w:t>klachten en bezwaren m.b.t. toetsing en beoordelingen (individueel en algemener)</w:t>
      </w:r>
      <w:r w:rsidR="00A72609" w:rsidRPr="00CF4450">
        <w:rPr>
          <w:i/>
        </w:rPr>
        <w:t xml:space="preserve"> en ondernomen acties</w:t>
      </w:r>
      <w:r w:rsidRPr="00CF4450">
        <w:rPr>
          <w:i/>
        </w:rPr>
        <w:t>;</w:t>
      </w:r>
    </w:p>
    <w:p w14:paraId="3AA32B91" w14:textId="286D772E" w:rsidR="00A72609" w:rsidRPr="00CF4450" w:rsidRDefault="00D41CD5" w:rsidP="00CF4450">
      <w:pPr>
        <w:pStyle w:val="ListParagraph"/>
        <w:numPr>
          <w:ilvl w:val="0"/>
          <w:numId w:val="11"/>
        </w:numPr>
        <w:spacing w:line="240" w:lineRule="auto"/>
        <w:ind w:left="426" w:hanging="426"/>
        <w:rPr>
          <w:i/>
        </w:rPr>
      </w:pPr>
      <w:r w:rsidRPr="00CF4450">
        <w:rPr>
          <w:i/>
        </w:rPr>
        <w:t>meldingen van fraude en plagiaat en genomen acties</w:t>
      </w:r>
      <w:r w:rsidR="00A72609" w:rsidRPr="00CF4450">
        <w:rPr>
          <w:i/>
        </w:rPr>
        <w:t>;</w:t>
      </w:r>
    </w:p>
    <w:p w14:paraId="6982BDD3" w14:textId="4590144A" w:rsidR="00A72609" w:rsidRPr="00CF4450" w:rsidRDefault="00A72609" w:rsidP="00CF4450">
      <w:pPr>
        <w:pStyle w:val="ListParagraph"/>
        <w:numPr>
          <w:ilvl w:val="0"/>
          <w:numId w:val="11"/>
        </w:numPr>
        <w:spacing w:line="240" w:lineRule="auto"/>
        <w:ind w:left="426" w:hanging="426"/>
        <w:rPr>
          <w:b/>
          <w:i/>
        </w:rPr>
      </w:pPr>
      <w:r w:rsidRPr="00CF4450">
        <w:rPr>
          <w:i/>
        </w:rPr>
        <w:t>beschrijving eventuele beroepszaken CBE / CBHO, schikkingen, oordelen.</w:t>
      </w:r>
    </w:p>
    <w:p w14:paraId="5EE224AD" w14:textId="57B92995" w:rsidR="00A72609" w:rsidRPr="00CF4450" w:rsidRDefault="00A72609" w:rsidP="00CF4450">
      <w:pPr>
        <w:pStyle w:val="ListParagraph"/>
        <w:spacing w:line="240" w:lineRule="auto"/>
        <w:ind w:left="0"/>
        <w:rPr>
          <w:b/>
          <w:i/>
        </w:rPr>
      </w:pPr>
      <w:r w:rsidRPr="00CF4450">
        <w:rPr>
          <w:i/>
        </w:rPr>
        <w:t xml:space="preserve">Nb. Door de data te kwantificeren, kunnen ook trends of bijzondere afwijkingen zichtbaar worden en aangegeven worden. </w:t>
      </w:r>
    </w:p>
    <w:p w14:paraId="31C61A14" w14:textId="6175EC64" w:rsidR="0078427F" w:rsidRDefault="003B39EE" w:rsidP="00CF4450">
      <w:pPr>
        <w:spacing w:line="240" w:lineRule="auto"/>
      </w:pPr>
      <w:r w:rsidRPr="00CF4450">
        <w:rPr>
          <w:b/>
          <w:color w:val="0F243E" w:themeColor="text2" w:themeShade="80"/>
        </w:rPr>
        <w:t xml:space="preserve">Cijfermatige gegevens </w:t>
      </w:r>
      <w:r w:rsidR="00D41CD5" w:rsidRPr="00CF4450">
        <w:rPr>
          <w:b/>
          <w:color w:val="0F243E" w:themeColor="text2" w:themeShade="80"/>
        </w:rPr>
        <w:t>diplomering</w:t>
      </w:r>
      <w:r w:rsidR="00D41CD5" w:rsidRPr="00CF4450">
        <w:rPr>
          <w:b/>
          <w:color w:val="0F243E" w:themeColor="text2" w:themeShade="80"/>
        </w:rPr>
        <w:br/>
      </w:r>
      <w:r w:rsidR="00D41CD5" w:rsidRPr="00CF4450">
        <w:rPr>
          <w:i/>
        </w:rPr>
        <w:t xml:space="preserve">Statistisch overzicht van verstrekte diploma’s, getuigschriften en cum laude toekenningen Hiervoor kan eventueel ook verwezen worden naar </w:t>
      </w:r>
      <w:r w:rsidRPr="00CF4450">
        <w:rPr>
          <w:i/>
        </w:rPr>
        <w:t xml:space="preserve"> </w:t>
      </w:r>
      <w:r w:rsidR="00D41CD5" w:rsidRPr="00CF4450">
        <w:rPr>
          <w:i/>
        </w:rPr>
        <w:t>andere (</w:t>
      </w:r>
      <w:proofErr w:type="spellStart"/>
      <w:r w:rsidR="00D41CD5" w:rsidRPr="00CF4450">
        <w:rPr>
          <w:i/>
        </w:rPr>
        <w:t>opleidings</w:t>
      </w:r>
      <w:proofErr w:type="spellEnd"/>
      <w:r w:rsidR="00D41CD5" w:rsidRPr="00CF4450">
        <w:rPr>
          <w:i/>
        </w:rPr>
        <w:t>)bronnen waar deze gegevens vermeld worden.</w:t>
      </w:r>
      <w:r w:rsidR="00D41CD5">
        <w:t xml:space="preserve"> </w:t>
      </w:r>
      <w:r w:rsidR="00D41CD5">
        <w:br/>
      </w:r>
      <w:r w:rsidR="0078427F">
        <w:br/>
      </w:r>
      <w:r w:rsidR="00CF4450">
        <w:rPr>
          <w:b/>
          <w:color w:val="0F243E" w:themeColor="text2" w:themeShade="80"/>
        </w:rPr>
        <w:t>T</w:t>
      </w:r>
      <w:r w:rsidR="0078427F" w:rsidRPr="00CF4450">
        <w:rPr>
          <w:b/>
          <w:color w:val="0F243E" w:themeColor="text2" w:themeShade="80"/>
        </w:rPr>
        <w:t>erugblik en vooruitblik</w:t>
      </w:r>
      <w:r w:rsidR="00CF4450">
        <w:rPr>
          <w:b/>
          <w:color w:val="0F243E" w:themeColor="text2" w:themeShade="80"/>
        </w:rPr>
        <w:t>, a</w:t>
      </w:r>
      <w:r w:rsidR="00CF4450" w:rsidRPr="00CF4450">
        <w:rPr>
          <w:b/>
          <w:color w:val="0F243E" w:themeColor="text2" w:themeShade="80"/>
        </w:rPr>
        <w:t>andachts</w:t>
      </w:r>
      <w:r w:rsidR="00CF4450">
        <w:rPr>
          <w:b/>
          <w:color w:val="0F243E" w:themeColor="text2" w:themeShade="80"/>
        </w:rPr>
        <w:t>- en actie</w:t>
      </w:r>
      <w:r w:rsidR="00CF4450" w:rsidRPr="00CF4450">
        <w:rPr>
          <w:b/>
          <w:color w:val="0F243E" w:themeColor="text2" w:themeShade="80"/>
        </w:rPr>
        <w:t>punten</w:t>
      </w:r>
      <w:r w:rsidR="0078427F" w:rsidRPr="00CF4450">
        <w:rPr>
          <w:b/>
          <w:color w:val="0F243E" w:themeColor="text2" w:themeShade="80"/>
        </w:rPr>
        <w:br/>
      </w:r>
      <w:r w:rsidR="0078427F" w:rsidRPr="00CF4450">
        <w:rPr>
          <w:i/>
        </w:rPr>
        <w:t xml:space="preserve">Onder dit punt kan een korte beschrijving gegeven worden op de punten die in het jaarverslag van het vorige jaar zijn aangemerkt als aandachtspunten en wat er is gebeurd naar aanleiding daarvan. </w:t>
      </w:r>
      <w:r w:rsidR="0078427F" w:rsidRPr="00CF4450">
        <w:rPr>
          <w:i/>
        </w:rPr>
        <w:br/>
        <w:t>Daarnaast kunnen de belangrijkste aandachts- en actiepunten voor komend jaar aangegeven worden.</w:t>
      </w:r>
      <w:r w:rsidR="0078427F">
        <w:t xml:space="preserve"> </w:t>
      </w:r>
      <w:r w:rsidR="00C24A49">
        <w:t>Op deze wijze wordt gerefereerd aan de PDCA-cyclus.</w:t>
      </w:r>
      <w:r w:rsidR="0078427F">
        <w:br/>
      </w:r>
    </w:p>
    <w:sectPr w:rsidR="00784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4_"/>
      </v:shape>
    </w:pict>
  </w:numPicBullet>
  <w:numPicBullet w:numPicBulletId="1">
    <w:pict>
      <v:shape id="_x0000_i1027" type="#_x0000_t75" style="width:9pt;height:9pt" o:bullet="t">
        <v:imagedata r:id="rId2" o:title="BD10300_"/>
      </v:shape>
    </w:pict>
  </w:numPicBullet>
  <w:numPicBullet w:numPicBulletId="2">
    <w:pict>
      <v:shape id="_x0000_i1028" type="#_x0000_t75" style="width:11.25pt;height:11.25pt" o:bullet="t">
        <v:imagedata r:id="rId3" o:title="BD14565_"/>
      </v:shape>
    </w:pict>
  </w:numPicBullet>
  <w:abstractNum w:abstractNumId="0" w15:restartNumberingAfterBreak="0">
    <w:nsid w:val="0E917A9C"/>
    <w:multiLevelType w:val="hybridMultilevel"/>
    <w:tmpl w:val="099AA9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C1D43"/>
    <w:multiLevelType w:val="hybridMultilevel"/>
    <w:tmpl w:val="8E469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1C4E43"/>
    <w:multiLevelType w:val="hybridMultilevel"/>
    <w:tmpl w:val="6CCA2110"/>
    <w:lvl w:ilvl="0" w:tplc="C796536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E4779"/>
    <w:multiLevelType w:val="hybridMultilevel"/>
    <w:tmpl w:val="7598B7D2"/>
    <w:lvl w:ilvl="0" w:tplc="C796536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512FA7"/>
    <w:multiLevelType w:val="hybridMultilevel"/>
    <w:tmpl w:val="9056A87A"/>
    <w:lvl w:ilvl="0" w:tplc="A3F0A280">
      <w:start w:val="1"/>
      <w:numFmt w:val="bullet"/>
      <w:lvlText w:val=""/>
      <w:lvlPicBulletId w:val="2"/>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5D6DEB"/>
    <w:multiLevelType w:val="hybridMultilevel"/>
    <w:tmpl w:val="0096F8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C4252"/>
    <w:multiLevelType w:val="hybridMultilevel"/>
    <w:tmpl w:val="286CFD90"/>
    <w:lvl w:ilvl="0" w:tplc="A3F0A280">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637B42"/>
    <w:multiLevelType w:val="hybridMultilevel"/>
    <w:tmpl w:val="ACFA7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A203C1"/>
    <w:multiLevelType w:val="hybridMultilevel"/>
    <w:tmpl w:val="88408198"/>
    <w:lvl w:ilvl="0" w:tplc="2F80AB4A">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520701"/>
    <w:multiLevelType w:val="hybridMultilevel"/>
    <w:tmpl w:val="A0626158"/>
    <w:lvl w:ilvl="0" w:tplc="EC60B77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D32E8F"/>
    <w:multiLevelType w:val="hybridMultilevel"/>
    <w:tmpl w:val="A286637A"/>
    <w:lvl w:ilvl="0" w:tplc="C796536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3"/>
  </w:num>
  <w:num w:numId="5">
    <w:abstractNumId w:val="2"/>
  </w:num>
  <w:num w:numId="6">
    <w:abstractNumId w:val="1"/>
  </w:num>
  <w:num w:numId="7">
    <w:abstractNumId w:val="0"/>
  </w:num>
  <w:num w:numId="8">
    <w:abstractNumId w:val="9"/>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CA"/>
    <w:rsid w:val="00022A25"/>
    <w:rsid w:val="00067FED"/>
    <w:rsid w:val="000D37DF"/>
    <w:rsid w:val="003B39EE"/>
    <w:rsid w:val="00591FFC"/>
    <w:rsid w:val="00734CEB"/>
    <w:rsid w:val="0078427F"/>
    <w:rsid w:val="007F6917"/>
    <w:rsid w:val="0081634C"/>
    <w:rsid w:val="008E0ACA"/>
    <w:rsid w:val="00981F52"/>
    <w:rsid w:val="009C688B"/>
    <w:rsid w:val="00A72609"/>
    <w:rsid w:val="00B21D11"/>
    <w:rsid w:val="00B36DB4"/>
    <w:rsid w:val="00C24A49"/>
    <w:rsid w:val="00CF4450"/>
    <w:rsid w:val="00D41CD5"/>
    <w:rsid w:val="00D457E4"/>
    <w:rsid w:val="00EB7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D5E8C6"/>
  <w15:docId w15:val="{9B3834CC-041E-45F7-A5B5-874EF6D7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CA"/>
    <w:pPr>
      <w:ind w:left="720"/>
      <w:contextualSpacing/>
    </w:pPr>
  </w:style>
  <w:style w:type="paragraph" w:styleId="BalloonText">
    <w:name w:val="Balloon Text"/>
    <w:basedOn w:val="Normal"/>
    <w:link w:val="BalloonTextChar"/>
    <w:uiPriority w:val="99"/>
    <w:semiHidden/>
    <w:unhideWhenUsed/>
    <w:rsid w:val="000D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7DF"/>
    <w:rPr>
      <w:rFonts w:ascii="Tahoma" w:hAnsi="Tahoma" w:cs="Tahoma"/>
      <w:sz w:val="16"/>
      <w:szCs w:val="16"/>
    </w:rPr>
  </w:style>
  <w:style w:type="character" w:styleId="Hyperlink">
    <w:name w:val="Hyperlink"/>
    <w:basedOn w:val="DefaultParagraphFont"/>
    <w:uiPriority w:val="99"/>
    <w:semiHidden/>
    <w:unhideWhenUsed/>
    <w:rsid w:val="000D37DF"/>
    <w:rPr>
      <w:color w:val="0000FF"/>
      <w:u w:val="single"/>
    </w:rPr>
  </w:style>
  <w:style w:type="paragraph" w:customStyle="1" w:styleId="xmsonormal">
    <w:name w:val="x_msonormal"/>
    <w:basedOn w:val="Normal"/>
    <w:rsid w:val="000D37D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utwente.nl/en/examination-board/safeguarding/ut/quality-assurance-framework-student-assessment-u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wente.nl/en/examination-board/safeguarding/ut/quality-assurance-framework-student-assessment-ut.pdf" TargetMode="External"/><Relationship Id="rId5" Type="http://schemas.openxmlformats.org/officeDocument/2006/relationships/image" Target="media/image4.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 jonker</dc:creator>
  <cp:lastModifiedBy>Vlas, W.D. (CES)</cp:lastModifiedBy>
  <cp:revision>2</cp:revision>
  <dcterms:created xsi:type="dcterms:W3CDTF">2019-09-18T08:16:00Z</dcterms:created>
  <dcterms:modified xsi:type="dcterms:W3CDTF">2019-09-18T08:16:00Z</dcterms:modified>
</cp:coreProperties>
</file>